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C9F" w:rsidRPr="009C3C9F" w:rsidRDefault="009C3C9F" w:rsidP="009C3C9F">
      <w:pPr>
        <w:spacing w:after="0" w:line="240" w:lineRule="auto"/>
        <w:jc w:val="center"/>
        <w:outlineLvl w:val="0"/>
        <w:rPr>
          <w:rFonts w:ascii="Arial" w:eastAsia="Times New Roman" w:hAnsi="Arial" w:cs="Arial"/>
          <w:caps/>
          <w:color w:val="FFFFFF"/>
          <w:kern w:val="36"/>
          <w:sz w:val="48"/>
          <w:szCs w:val="48"/>
          <w:lang w:val="es-MX"/>
        </w:rPr>
      </w:pPr>
      <w:r w:rsidRPr="009C3C9F">
        <w:rPr>
          <w:rFonts w:ascii="Arial" w:eastAsia="Times New Roman" w:hAnsi="Arial" w:cs="Arial"/>
          <w:caps/>
          <w:color w:val="FFFFFF"/>
          <w:kern w:val="36"/>
          <w:sz w:val="48"/>
          <w:szCs w:val="48"/>
          <w:lang w:val="es-MX"/>
        </w:rPr>
        <w:t>REFORMA PENSIONAL: TRÁMITE LEGISLATIVO Y ASPECTOS MÁS RELEVANTES</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El pasado 20 de julio de 2023 en el Congreso de la República inició una nueva legislatura, donde se espera que el Proyecto de Ley No. 293 de 2023 que pretende regular el Sistema de Protección Social Integral para la vejez, invalidez y muerte de origen común, sea sometido a los debates y discusiones en su fase legislativa.</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Bajo el escenario que se avecina, consideramos pertinente y relevante presentar un panorama para poder apreciar y entender cuáles serán los pasos que deben surtirse para que un proyecto de ley sea considerado Ley de la República. Así mismo, se presentarán los aspectos relevantes que plantea la Reforma Pensional relativos al régimen de transición, su aplicación y alcance. </w:t>
      </w:r>
    </w:p>
    <w:p w:rsidR="009C3C9F" w:rsidRPr="009C3C9F" w:rsidRDefault="009C3C9F" w:rsidP="009C3C9F">
      <w:pPr>
        <w:spacing w:after="180" w:line="240" w:lineRule="auto"/>
        <w:outlineLvl w:val="4"/>
        <w:rPr>
          <w:rFonts w:ascii="Arial" w:eastAsia="Times New Roman" w:hAnsi="Arial" w:cs="Arial"/>
          <w:color w:val="0D535F"/>
          <w:sz w:val="20"/>
          <w:szCs w:val="20"/>
          <w:lang w:val="es-MX"/>
        </w:rPr>
      </w:pPr>
      <w:bookmarkStart w:id="0" w:name="eztoc_1"/>
      <w:bookmarkEnd w:id="0"/>
      <w:r w:rsidRPr="009C3C9F">
        <w:rPr>
          <w:rFonts w:ascii="Arial" w:eastAsia="Times New Roman" w:hAnsi="Arial" w:cs="Arial"/>
          <w:color w:val="0D535F"/>
          <w:sz w:val="20"/>
          <w:szCs w:val="20"/>
          <w:lang w:val="es-MX"/>
        </w:rPr>
        <w:t>El trámite legislativo que debe agotar un Proyecto de Ley Ordinaria para ser considerado Ley de la República</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Un proyecto de ley ordinaria debe agotar un trámite legislativo compuesto por cuatro (4) debates en un periodo de máximo dos (2) legislaturas, de la siguiente manera:</w:t>
      </w:r>
      <w:r w:rsidRPr="009C3C9F">
        <w:rPr>
          <w:rFonts w:ascii="Arial" w:eastAsia="Times New Roman" w:hAnsi="Arial" w:cs="Arial"/>
          <w:color w:val="000000"/>
          <w:sz w:val="24"/>
          <w:szCs w:val="24"/>
          <w:lang w:val="es-MX"/>
        </w:rPr>
        <w:br/>
        <w:t> </w:t>
      </w:r>
    </w:p>
    <w:p w:rsidR="009C3C9F" w:rsidRPr="009C3C9F" w:rsidRDefault="009C3C9F" w:rsidP="009C3C9F">
      <w:pPr>
        <w:spacing w:line="240" w:lineRule="auto"/>
        <w:rPr>
          <w:rFonts w:ascii="Arial" w:eastAsia="Times New Roman" w:hAnsi="Arial" w:cs="Arial"/>
          <w:color w:val="0D535F"/>
          <w:sz w:val="24"/>
          <w:szCs w:val="24"/>
        </w:rPr>
      </w:pPr>
      <w:bookmarkStart w:id="1" w:name="_GoBack"/>
      <w:r w:rsidRPr="009C3C9F">
        <w:rPr>
          <w:rFonts w:ascii="Arial" w:eastAsia="Times New Roman" w:hAnsi="Arial" w:cs="Arial"/>
          <w:noProof/>
          <w:color w:val="0D535F"/>
          <w:sz w:val="24"/>
          <w:szCs w:val="24"/>
        </w:rPr>
        <w:lastRenderedPageBreak/>
        <w:drawing>
          <wp:inline distT="0" distB="0" distL="0" distR="0" wp14:anchorId="2282F5AA" wp14:editId="05D72826">
            <wp:extent cx="8296275" cy="3619500"/>
            <wp:effectExtent l="0" t="0" r="0" b="0"/>
            <wp:docPr id="1" name="Imagen 1" descr="https://cms.law/var/dpcontent/storage/images/_aliases/etlarge1900/0/7/5/7/19767570-1-eng-GB/ebb3e7682a32-imagen2.png?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ms.law/var/dpcontent/storage/images/_aliases/etlarge1900/0/7/5/7/19767570-1-eng-GB/ebb3e7682a32-imagen2.png?v=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96275" cy="3619500"/>
                    </a:xfrm>
                    <a:prstGeom prst="rect">
                      <a:avLst/>
                    </a:prstGeom>
                    <a:noFill/>
                    <a:ln>
                      <a:noFill/>
                    </a:ln>
                  </pic:spPr>
                </pic:pic>
              </a:graphicData>
            </a:graphic>
          </wp:inline>
        </w:drawing>
      </w:r>
      <w:bookmarkEnd w:id="1"/>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De tal manera que para que el Proyecto de Reforma Pensional se convierta en Ley de la República, será necesario que agoten los tres debates faltantes en el Congreso y la posterior sanción presidencial.</w:t>
      </w:r>
    </w:p>
    <w:p w:rsidR="009C3C9F" w:rsidRPr="009C3C9F" w:rsidRDefault="009C3C9F" w:rsidP="009C3C9F">
      <w:pPr>
        <w:spacing w:after="180" w:line="240" w:lineRule="auto"/>
        <w:outlineLvl w:val="4"/>
        <w:rPr>
          <w:rFonts w:ascii="Arial" w:eastAsia="Times New Roman" w:hAnsi="Arial" w:cs="Arial"/>
          <w:color w:val="0D535F"/>
          <w:sz w:val="20"/>
          <w:szCs w:val="20"/>
          <w:lang w:val="es-MX"/>
        </w:rPr>
      </w:pPr>
      <w:bookmarkStart w:id="2" w:name="eztoc_2"/>
      <w:bookmarkEnd w:id="2"/>
      <w:r w:rsidRPr="009C3C9F">
        <w:rPr>
          <w:rFonts w:ascii="Arial" w:eastAsia="Times New Roman" w:hAnsi="Arial" w:cs="Arial"/>
          <w:color w:val="0D535F"/>
          <w:sz w:val="20"/>
          <w:szCs w:val="20"/>
          <w:lang w:val="es-MX"/>
        </w:rPr>
        <w:t>Modificaciones y aspectos más relevantes de la Reforma Pensional</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Uno de los cambios sustanciales de la Reforma Pensional frente al texto inicial del Proyecto, es el régimen de transición. Dicho Régimen es un mecanismo creado por el legislador para proteger los derechos, intereses y beneficios adquiridos, y su objetivo es garantizar que las personas afiliadas al sistema general de pensiones puedan conservar las mismas condiciones del régimen al cual estaban afiliados, a pesar de los cambios legales futuros.</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lastRenderedPageBreak/>
        <w:t>El texto inicial del Proyecto planteaba que al quedar aprobado su articulado relativo al régimen de transición y al entrar a regir, las condiciones consagradas en la Ley 100 de 1993 y las normas que la modificaron, seguirían aplicando a las personas que hubieran cotizado un mínimo de mil (1.000) semanas al 01 de enero de 2025.</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Sin embargo, y una vez aprobado el Proyecto de Reforma Pensional, se determinó que, para ser beneficiario de dicho Régimen, las mujeres deberán contar con un mínimo de setecientas cincuenta (750) semanas y los hombres con novecientas (900) semanas cotizadas al 01 de enero de 2025, y bajo estos parámetros les sea aplicable la Ley 100 de 1993 y las normas que la modificaron. </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La disminución de semanas en el requisito exigido permitirá un gran número de afiliados puedan acceder a las prerrogativas del régimen de transición y este ajuste normativo puede ser beneficioso para un gran número de afiliados que se encuentran próximos a cumplir las semanas exigidas. No obstante, consideramos que el impacto fiscal de estas nuevas condiciones no ha sido medido en su real proporción.</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Por otro lado, consideramos importante mencionar el estudio adelantado por el Comité de la Regla Fiscal – CARF en mayo de 2023, que concluyó que la probable disminución de traslados de afiliados al sistema de Prima Media, puede traer   una reducción sustancial en el recaudo de cotizaciones y la consecuencia directa de esta reducción sería una disminución de los recursos para sufragar las mesadas pensionales, lo cual perdería de vista uno de los principales objetivos de la Reforma Pensional.</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En todo caso, seguiremos muy de cerca los tres debates restantes ante el Congreso donde esperamos se resuelvan y aclaren los escenarios y dilemas planteadas por la CARF.</w:t>
      </w:r>
    </w:p>
    <w:p w:rsidR="009C3C9F" w:rsidRPr="009C3C9F" w:rsidRDefault="009C3C9F" w:rsidP="009C3C9F">
      <w:pPr>
        <w:spacing w:after="180" w:line="240" w:lineRule="auto"/>
        <w:outlineLvl w:val="4"/>
        <w:rPr>
          <w:rFonts w:ascii="Arial" w:eastAsia="Times New Roman" w:hAnsi="Arial" w:cs="Arial"/>
          <w:color w:val="0D535F"/>
          <w:sz w:val="20"/>
          <w:szCs w:val="20"/>
          <w:lang w:val="es-MX"/>
        </w:rPr>
      </w:pPr>
      <w:bookmarkStart w:id="3" w:name="eztoc_3"/>
      <w:bookmarkEnd w:id="3"/>
      <w:r w:rsidRPr="009C3C9F">
        <w:rPr>
          <w:rFonts w:ascii="Arial" w:eastAsia="Times New Roman" w:hAnsi="Arial" w:cs="Arial"/>
          <w:color w:val="0D535F"/>
          <w:sz w:val="20"/>
          <w:szCs w:val="20"/>
          <w:lang w:val="es-MX"/>
        </w:rPr>
        <w:t>Aspectos que no han sido aclarados y que merecen ser estudiados en los debates del congreso.</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A pesar de los debates surtidos sobre el Proyecto de Reforma Pensional, encontramos que el texto no ha variado de manera considerable y los interrogantes iniciales siguen latentes, especialmente sobre los siguientes aspectos que a continuación se plantean:</w:t>
      </w:r>
    </w:p>
    <w:p w:rsidR="009C3C9F" w:rsidRPr="009C3C9F" w:rsidRDefault="009C3C9F" w:rsidP="009C3C9F">
      <w:pPr>
        <w:numPr>
          <w:ilvl w:val="0"/>
          <w:numId w:val="1"/>
        </w:num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¿En el evento en que el afiliado muera y no existan beneficiarios de la pensión de sobrevivientes, desaparecerán las figuras de indemnización sustitutiva y devolución de aportes de la pensión de vejez?</w:t>
      </w:r>
    </w:p>
    <w:p w:rsidR="009C3C9F" w:rsidRPr="009C3C9F" w:rsidRDefault="009C3C9F" w:rsidP="009C3C9F">
      <w:pPr>
        <w:numPr>
          <w:ilvl w:val="0"/>
          <w:numId w:val="2"/>
        </w:num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lastRenderedPageBreak/>
        <w:t>¿Los saldos de la cuenta del componente complementario quedarán a favor de sus herederos a título de devolución de aportes, o desaparecerá esta figura?</w:t>
      </w:r>
    </w:p>
    <w:p w:rsidR="009C3C9F" w:rsidRPr="009C3C9F" w:rsidRDefault="009C3C9F" w:rsidP="009C3C9F">
      <w:pPr>
        <w:numPr>
          <w:ilvl w:val="0"/>
          <w:numId w:val="3"/>
        </w:num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¿Se podrá disponer de los aportes realizados y ahorrados en el Componente Complementario de Ahorro Individual, con el fin de acreditar el requisito de semanas mínimas para adquirir el derecho a la pensión en el Componente Complementario de Prima Media, aun cuando no se ha cumplido con la edad requerida?</w:t>
      </w:r>
    </w:p>
    <w:p w:rsidR="009C3C9F" w:rsidRPr="009C3C9F" w:rsidRDefault="009C3C9F" w:rsidP="009C3C9F">
      <w:pPr>
        <w:numPr>
          <w:ilvl w:val="0"/>
          <w:numId w:val="4"/>
        </w:num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Un afiliado que opte por el reconocimiento de una prestación anticipada de vejez ¿Podrá recibir una prestación proporcional a las semanas cotizadas menor a un salario mínimo legal mensual vigente?</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Así las cosas, se espera que el Proyecto de Reforma Pensional agote el trámite legislativo en el Congreso de la República en la legislatura que apenas comienza, solucionando los interrogantes planteados.</w:t>
      </w:r>
    </w:p>
    <w:p w:rsidR="009C3C9F" w:rsidRPr="009C3C9F" w:rsidRDefault="009C3C9F" w:rsidP="009C3C9F">
      <w:pPr>
        <w:spacing w:before="100" w:beforeAutospacing="1" w:after="100" w:afterAutospacing="1" w:line="240" w:lineRule="auto"/>
        <w:rPr>
          <w:rFonts w:ascii="Arial" w:eastAsia="Times New Roman" w:hAnsi="Arial" w:cs="Arial"/>
          <w:color w:val="000000"/>
          <w:sz w:val="24"/>
          <w:szCs w:val="24"/>
          <w:lang w:val="es-MX"/>
        </w:rPr>
      </w:pPr>
      <w:r w:rsidRPr="009C3C9F">
        <w:rPr>
          <w:rFonts w:ascii="Arial" w:eastAsia="Times New Roman" w:hAnsi="Arial" w:cs="Arial"/>
          <w:color w:val="000000"/>
          <w:sz w:val="24"/>
          <w:szCs w:val="24"/>
          <w:lang w:val="es-MX"/>
        </w:rPr>
        <w:t>Los invitamos a revisar nuestros artículos sobre los aspectos relevantes del Proyecto de Reforma Pensional y de seguir atentos a nuestras próximas entregas, pues estaremos analizando las novedades que surjan frente al Proyecto en curso.</w:t>
      </w:r>
      <w:r w:rsidRPr="009C3C9F">
        <w:rPr>
          <w:rFonts w:ascii="Arial" w:eastAsia="Times New Roman" w:hAnsi="Arial" w:cs="Arial"/>
          <w:color w:val="000000"/>
          <w:sz w:val="24"/>
          <w:szCs w:val="24"/>
          <w:lang w:val="es-MX"/>
        </w:rPr>
        <w:br/>
        <w:t> </w:t>
      </w:r>
    </w:p>
    <w:p w:rsidR="00531FF8" w:rsidRDefault="00531FF8">
      <w:pPr>
        <w:rPr>
          <w:lang w:val="es-MX"/>
        </w:rPr>
      </w:pPr>
    </w:p>
    <w:p w:rsidR="009C3C9F" w:rsidRDefault="009C3C9F">
      <w:pPr>
        <w:rPr>
          <w:lang w:val="es-MX"/>
        </w:rPr>
      </w:pPr>
    </w:p>
    <w:p w:rsidR="009C3C9F" w:rsidRDefault="009C3C9F">
      <w:pPr>
        <w:rPr>
          <w:lang w:val="es-MX"/>
        </w:rPr>
      </w:pPr>
    </w:p>
    <w:p w:rsidR="009C3C9F" w:rsidRDefault="009C3C9F">
      <w:pPr>
        <w:rPr>
          <w:lang w:val="es-MX"/>
        </w:rPr>
      </w:pPr>
    </w:p>
    <w:p w:rsidR="009C3C9F" w:rsidRPr="009C3C9F" w:rsidRDefault="009C3C9F" w:rsidP="009C3C9F">
      <w:pPr>
        <w:spacing w:after="300" w:line="240" w:lineRule="auto"/>
        <w:outlineLvl w:val="0"/>
        <w:rPr>
          <w:rFonts w:ascii="Arial" w:eastAsia="Times New Roman" w:hAnsi="Arial" w:cs="Arial"/>
          <w:color w:val="232323"/>
          <w:kern w:val="36"/>
          <w:sz w:val="54"/>
          <w:szCs w:val="54"/>
          <w:lang w:val="es-MX"/>
        </w:rPr>
      </w:pPr>
      <w:r w:rsidRPr="009C3C9F">
        <w:rPr>
          <w:rFonts w:ascii="Arial" w:eastAsia="Times New Roman" w:hAnsi="Arial" w:cs="Arial"/>
          <w:color w:val="232323"/>
          <w:kern w:val="36"/>
          <w:sz w:val="54"/>
          <w:szCs w:val="54"/>
          <w:lang w:val="es-MX"/>
        </w:rPr>
        <w:t>Comisión Séptima del Senado ya aprobó la reforma pensional</w:t>
      </w:r>
    </w:p>
    <w:p w:rsidR="009C3C9F" w:rsidRPr="009C3C9F" w:rsidRDefault="009C3C9F" w:rsidP="009C3C9F">
      <w:pPr>
        <w:spacing w:line="240" w:lineRule="auto"/>
        <w:rPr>
          <w:rFonts w:ascii="Arial" w:eastAsia="Times New Roman" w:hAnsi="Arial" w:cs="Arial"/>
          <w:color w:val="232323"/>
          <w:sz w:val="24"/>
          <w:szCs w:val="24"/>
        </w:rPr>
      </w:pPr>
      <w:hyperlink r:id="rId6" w:history="1">
        <w:r w:rsidRPr="009C3C9F">
          <w:rPr>
            <w:rFonts w:ascii="Arial" w:eastAsia="Times New Roman" w:hAnsi="Arial" w:cs="Arial"/>
            <w:b/>
            <w:bCs/>
            <w:caps/>
            <w:color w:val="0000FF"/>
            <w:spacing w:val="8"/>
            <w:sz w:val="17"/>
            <w:szCs w:val="17"/>
            <w:u w:val="single"/>
            <w:shd w:val="clear" w:color="auto" w:fill="BD9E55"/>
          </w:rPr>
          <w:t>NOTICIAS</w:t>
        </w:r>
      </w:hyperlink>
      <w:r w:rsidRPr="009C3C9F">
        <w:rPr>
          <w:rFonts w:ascii="Arial" w:eastAsia="Times New Roman" w:hAnsi="Arial" w:cs="Arial"/>
          <w:color w:val="8A8A8A"/>
          <w:sz w:val="20"/>
          <w:szCs w:val="20"/>
        </w:rPr>
        <w:t xml:space="preserve"> 14 </w:t>
      </w:r>
      <w:proofErr w:type="spellStart"/>
      <w:r w:rsidRPr="009C3C9F">
        <w:rPr>
          <w:rFonts w:ascii="Arial" w:eastAsia="Times New Roman" w:hAnsi="Arial" w:cs="Arial"/>
          <w:color w:val="8A8A8A"/>
          <w:sz w:val="20"/>
          <w:szCs w:val="20"/>
        </w:rPr>
        <w:t>Junio</w:t>
      </w:r>
      <w:proofErr w:type="spellEnd"/>
      <w:r w:rsidRPr="009C3C9F">
        <w:rPr>
          <w:rFonts w:ascii="Arial" w:eastAsia="Times New Roman" w:hAnsi="Arial" w:cs="Arial"/>
          <w:color w:val="8A8A8A"/>
          <w:sz w:val="20"/>
          <w:szCs w:val="20"/>
        </w:rPr>
        <w:t xml:space="preserve"> 2023</w:t>
      </w:r>
      <w:r w:rsidRPr="009C3C9F">
        <w:rPr>
          <w:rFonts w:ascii="Arial" w:eastAsia="Times New Roman" w:hAnsi="Arial" w:cs="Arial"/>
          <w:color w:val="BD9E55"/>
          <w:sz w:val="20"/>
          <w:szCs w:val="20"/>
        </w:rPr>
        <w:t> </w:t>
      </w:r>
      <w:proofErr w:type="spellStart"/>
      <w:r w:rsidRPr="009C3C9F">
        <w:rPr>
          <w:rFonts w:ascii="Arial" w:eastAsia="Times New Roman" w:hAnsi="Arial" w:cs="Arial"/>
          <w:color w:val="BD9E55"/>
          <w:sz w:val="20"/>
          <w:szCs w:val="20"/>
        </w:rPr>
        <w:t>Visto</w:t>
      </w:r>
      <w:proofErr w:type="spellEnd"/>
      <w:r w:rsidRPr="009C3C9F">
        <w:rPr>
          <w:rFonts w:ascii="Arial" w:eastAsia="Times New Roman" w:hAnsi="Arial" w:cs="Arial"/>
          <w:color w:val="BD9E55"/>
          <w:sz w:val="20"/>
          <w:szCs w:val="20"/>
        </w:rPr>
        <w:t>: 48470</w:t>
      </w:r>
    </w:p>
    <w:p w:rsidR="009C3C9F" w:rsidRPr="009C3C9F" w:rsidRDefault="009C3C9F" w:rsidP="009C3C9F">
      <w:pPr>
        <w:spacing w:line="240" w:lineRule="auto"/>
        <w:rPr>
          <w:rFonts w:ascii="Arial" w:eastAsia="Times New Roman" w:hAnsi="Arial" w:cs="Arial"/>
          <w:color w:val="232323"/>
          <w:sz w:val="24"/>
          <w:szCs w:val="24"/>
        </w:rPr>
      </w:pPr>
      <w:r w:rsidRPr="009C3C9F">
        <w:rPr>
          <w:rFonts w:ascii="Arial" w:eastAsia="Times New Roman" w:hAnsi="Arial" w:cs="Arial"/>
          <w:noProof/>
          <w:color w:val="232323"/>
          <w:sz w:val="24"/>
          <w:szCs w:val="24"/>
        </w:rPr>
        <w:lastRenderedPageBreak/>
        <w:drawing>
          <wp:inline distT="0" distB="0" distL="0" distR="0">
            <wp:extent cx="7258050" cy="8162925"/>
            <wp:effectExtent l="0" t="0" r="0" b="9525"/>
            <wp:docPr id="2" name="Imagen 2" descr="https://www.senado.gov.co/images/FOTO_COMSON_SEPTIMA_JUNIO_14_DE_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enado.gov.co/images/FOTO_COMSON_SEPTIMA_JUNIO_14_DE_20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58050" cy="8162925"/>
                    </a:xfrm>
                    <a:prstGeom prst="rect">
                      <a:avLst/>
                    </a:prstGeom>
                    <a:noFill/>
                    <a:ln>
                      <a:noFill/>
                    </a:ln>
                  </pic:spPr>
                </pic:pic>
              </a:graphicData>
            </a:graphic>
          </wp:inline>
        </w:drawing>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i/>
          <w:iCs/>
          <w:color w:val="232323"/>
          <w:sz w:val="24"/>
          <w:szCs w:val="24"/>
          <w:lang w:val="es-MX"/>
        </w:rPr>
        <w:lastRenderedPageBreak/>
        <w:t>Dentro de los artículos aprobados está el que deja exenta de impuestos a las pensiones, el que instaura beneficio a las mujeres con hijos, el que asigna las semanas en el régimen de transición 900 para los hombres y 750 para las mujeres, entre otros.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Por: Isabel Colomna Sánchez.</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b/>
          <w:bCs/>
          <w:color w:val="232323"/>
          <w:sz w:val="24"/>
          <w:szCs w:val="24"/>
          <w:lang w:val="es-MX"/>
        </w:rPr>
        <w:t>Bogotá D.C. junio 14 de 2023(Prensa Senado</w:t>
      </w:r>
      <w:proofErr w:type="gramStart"/>
      <w:r w:rsidRPr="009C3C9F">
        <w:rPr>
          <w:rFonts w:ascii="Arial" w:eastAsia="Times New Roman" w:hAnsi="Arial" w:cs="Arial"/>
          <w:b/>
          <w:bCs/>
          <w:color w:val="232323"/>
          <w:sz w:val="24"/>
          <w:szCs w:val="24"/>
          <w:lang w:val="es-MX"/>
        </w:rPr>
        <w:t>).-</w:t>
      </w:r>
      <w:proofErr w:type="gramEnd"/>
      <w:r w:rsidRPr="009C3C9F">
        <w:rPr>
          <w:rFonts w:ascii="Arial" w:eastAsia="Times New Roman" w:hAnsi="Arial" w:cs="Arial"/>
          <w:b/>
          <w:bCs/>
          <w:color w:val="232323"/>
          <w:sz w:val="24"/>
          <w:szCs w:val="24"/>
          <w:lang w:val="es-MX"/>
        </w:rPr>
        <w:t xml:space="preserve">  </w:t>
      </w:r>
      <w:r w:rsidRPr="009C3C9F">
        <w:rPr>
          <w:rFonts w:ascii="Arial" w:eastAsia="Times New Roman" w:hAnsi="Arial" w:cs="Arial"/>
          <w:color w:val="232323"/>
          <w:sz w:val="24"/>
          <w:szCs w:val="24"/>
          <w:lang w:val="es-MX"/>
        </w:rPr>
        <w:t>Después de tres sesiones continuas, la Comisión Séptima de Senado, aprobó los 94 artículos del proyecto que establece el Sistema de Protección Social Integral para la vejez para Colombia, con el fin de garantizar el amparo al adulto mayor, en los casos de invalidez y muerte, mediante el reconocimiento de sus derechos, por medio de un sistema de pilares.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La </w:t>
      </w:r>
      <w:r w:rsidRPr="009C3C9F">
        <w:rPr>
          <w:rFonts w:ascii="Arial" w:eastAsia="Times New Roman" w:hAnsi="Arial" w:cs="Arial"/>
          <w:b/>
          <w:bCs/>
          <w:color w:val="232323"/>
          <w:sz w:val="24"/>
          <w:szCs w:val="24"/>
          <w:lang w:val="es-MX"/>
        </w:rPr>
        <w:t>senadora Martha Peralta (MAIS),</w:t>
      </w:r>
      <w:r w:rsidRPr="009C3C9F">
        <w:rPr>
          <w:rFonts w:ascii="Arial" w:eastAsia="Times New Roman" w:hAnsi="Arial" w:cs="Arial"/>
          <w:color w:val="232323"/>
          <w:sz w:val="24"/>
          <w:szCs w:val="24"/>
          <w:lang w:val="es-MX"/>
        </w:rPr>
        <w:t> dijo que la reforma busca darle un subsidio de renta básica a las personas que nunca han trabajado ni cotizados. Afirmó que el programa del adulto mayor continua hasta los 65 años de edad, quienes recibirán un subsidio de 265 mil pesos.</w:t>
      </w:r>
    </w:p>
    <w:p w:rsidR="009C3C9F" w:rsidRPr="009C3C9F" w:rsidRDefault="009C3C9F" w:rsidP="009C3C9F">
      <w:pPr>
        <w:spacing w:after="375" w:line="420" w:lineRule="atLeast"/>
        <w:rPr>
          <w:rFonts w:ascii="Arial" w:eastAsia="Times New Roman" w:hAnsi="Arial" w:cs="Arial"/>
          <w:color w:val="232323"/>
          <w:sz w:val="24"/>
          <w:szCs w:val="24"/>
          <w:lang w:val="es-MX"/>
        </w:rPr>
      </w:pPr>
      <w:proofErr w:type="gramStart"/>
      <w:r w:rsidRPr="009C3C9F">
        <w:rPr>
          <w:rFonts w:ascii="Arial" w:eastAsia="Times New Roman" w:hAnsi="Arial" w:cs="Arial"/>
          <w:color w:val="232323"/>
          <w:sz w:val="24"/>
          <w:szCs w:val="24"/>
          <w:lang w:val="es-MX"/>
        </w:rPr>
        <w:t>”Hemos</w:t>
      </w:r>
      <w:proofErr w:type="gramEnd"/>
      <w:r w:rsidRPr="009C3C9F">
        <w:rPr>
          <w:rFonts w:ascii="Arial" w:eastAsia="Times New Roman" w:hAnsi="Arial" w:cs="Arial"/>
          <w:color w:val="232323"/>
          <w:sz w:val="24"/>
          <w:szCs w:val="24"/>
          <w:lang w:val="es-MX"/>
        </w:rPr>
        <w:t xml:space="preserve"> construido esta reforma con altura a pesar de nuestras diferencias, con el único fin de beneficiar a los colombianos. Me siento muy honrada que mi primer periodo en el Senado, sea para aportarle al país”, expresó la senadora.</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Por su parte el </w:t>
      </w:r>
      <w:r w:rsidRPr="009C3C9F">
        <w:rPr>
          <w:rFonts w:ascii="Arial" w:eastAsia="Times New Roman" w:hAnsi="Arial" w:cs="Arial"/>
          <w:b/>
          <w:bCs/>
          <w:color w:val="232323"/>
          <w:sz w:val="24"/>
          <w:szCs w:val="24"/>
          <w:lang w:val="es-MX"/>
        </w:rPr>
        <w:t>senador Honorio Henríquez, (Centro Democrático),</w:t>
      </w:r>
      <w:r w:rsidRPr="009C3C9F">
        <w:rPr>
          <w:rFonts w:ascii="Arial" w:eastAsia="Times New Roman" w:hAnsi="Arial" w:cs="Arial"/>
          <w:color w:val="232323"/>
          <w:sz w:val="24"/>
          <w:szCs w:val="24"/>
          <w:lang w:val="es-MX"/>
        </w:rPr>
        <w:t xml:space="preserve"> manifestó su inconformidad ante la ministra de Trabajo Gloria Inés Ramírez, porque no tuvieron en cuenta sus propuestas, donde pide que se mantenga la edad del </w:t>
      </w:r>
      <w:r w:rsidRPr="009C3C9F">
        <w:rPr>
          <w:rFonts w:ascii="Arial" w:eastAsia="Times New Roman" w:hAnsi="Arial" w:cs="Arial"/>
          <w:color w:val="232323"/>
          <w:sz w:val="24"/>
          <w:szCs w:val="24"/>
          <w:lang w:val="es-MX"/>
        </w:rPr>
        <w:lastRenderedPageBreak/>
        <w:t>adulto mayor, para recibir el beneficio de la pensión, 57 años para las mujeres y 62 para los hombres; que no se aumente a 60 para mujeres y 65 para hombres.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“Nuestro país requiere que se genere la cultura del ahorro, donde estos produzcan rendimientos que garanticen la sostenibilidad sistema”. En la parte final de la sesión, el legislador dijo que votó con coherencia los artículos que beneficiaran a los colombianos.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b/>
          <w:bCs/>
          <w:i/>
          <w:iCs/>
          <w:color w:val="232323"/>
          <w:sz w:val="24"/>
          <w:szCs w:val="24"/>
          <w:lang w:val="es-MX"/>
        </w:rPr>
        <w:t>Proceso de los artículos discutidos y votados: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En el desarrollo de la sesión del miércoles se aprobaron los artículos 48, 36, 67, 67, 69, 72, 75,76,77, 85,88 (como vienen en la ponencia y con sus respectivas proposiciones. El 36 establece un beneficio de semanas para mujeres con hijos).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Con relación al articulo 85 la </w:t>
      </w:r>
      <w:r w:rsidRPr="009C3C9F">
        <w:rPr>
          <w:rFonts w:ascii="Arial" w:eastAsia="Times New Roman" w:hAnsi="Arial" w:cs="Arial"/>
          <w:b/>
          <w:bCs/>
          <w:color w:val="232323"/>
          <w:sz w:val="24"/>
          <w:szCs w:val="24"/>
          <w:lang w:val="es-MX"/>
        </w:rPr>
        <w:t>senadora Ana Paola Agudelo (MIRA</w:t>
      </w:r>
      <w:r w:rsidRPr="009C3C9F">
        <w:rPr>
          <w:rFonts w:ascii="Arial" w:eastAsia="Times New Roman" w:hAnsi="Arial" w:cs="Arial"/>
          <w:color w:val="232323"/>
          <w:sz w:val="24"/>
          <w:szCs w:val="24"/>
          <w:lang w:val="es-MX"/>
        </w:rPr>
        <w:t>), reconoció el trabajo de la comisión, para que las pensiones de los colombianos sean exentas con el impuesto de rentas. “Tenemos un mes de estar construyendo esta ponencia, hemos discutido y votado ampliamente el articulado dando garantías a los colombianos, en la protección de su pensión”, indicó.</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Dentro de los tres artículos nuevos, se aprobó el que indica que el gobierno nacional, adecuará la adopción de la sentencia de la Corte Constitucional, la C 197 de 2023, a más tardar el 1 de enero de 2026. Esta sentencia hace relación a la protección que se da a las mujeres. Las proposiciones quedaron como constancia para discutir en segundo debate.</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lastRenderedPageBreak/>
        <w:t>En el articulo 76, que habla del régimen de transición, el cual contempla en la ponencia mil semanas, para que se pueda hacer la transición.  Las senadoras </w:t>
      </w:r>
      <w:r w:rsidRPr="009C3C9F">
        <w:rPr>
          <w:rFonts w:ascii="Arial" w:eastAsia="Times New Roman" w:hAnsi="Arial" w:cs="Arial"/>
          <w:b/>
          <w:bCs/>
          <w:color w:val="232323"/>
          <w:sz w:val="24"/>
          <w:szCs w:val="24"/>
          <w:lang w:val="es-MX"/>
        </w:rPr>
        <w:t>Nadia Blel (Conservador) y Ana Paola Agudelo,</w:t>
      </w:r>
      <w:r w:rsidRPr="009C3C9F">
        <w:rPr>
          <w:rFonts w:ascii="Arial" w:eastAsia="Times New Roman" w:hAnsi="Arial" w:cs="Arial"/>
          <w:color w:val="232323"/>
          <w:sz w:val="24"/>
          <w:szCs w:val="24"/>
          <w:lang w:val="es-MX"/>
        </w:rPr>
        <w:t> solicitaron al gobierno que se estudie el componente de edad 35 años para las mujeres y 40 para los hombres para el proceso de transición. Después de discusión El gobierno propuso 900 semanas para hombres y 750 para las mujeres.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b/>
          <w:bCs/>
          <w:color w:val="232323"/>
          <w:sz w:val="24"/>
          <w:szCs w:val="24"/>
          <w:lang w:val="es-MX"/>
        </w:rPr>
        <w:t>El senador Fabián Díaz Plata (Alianza Verde),</w:t>
      </w:r>
      <w:r w:rsidRPr="009C3C9F">
        <w:rPr>
          <w:rFonts w:ascii="Arial" w:eastAsia="Times New Roman" w:hAnsi="Arial" w:cs="Arial"/>
          <w:color w:val="232323"/>
          <w:sz w:val="24"/>
          <w:szCs w:val="24"/>
          <w:lang w:val="es-MX"/>
        </w:rPr>
        <w:t> quien dirigió como presidente las sesiones de esta reforma pensional, agradeció a los participantes en la discusión de la iniciativa, “le hemos dado un ejemplo al país, en medio de las diferencias hemos dado las garantías a todas las bancadas”.</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Entre tanto la </w:t>
      </w:r>
      <w:r w:rsidRPr="009C3C9F">
        <w:rPr>
          <w:rFonts w:ascii="Arial" w:eastAsia="Times New Roman" w:hAnsi="Arial" w:cs="Arial"/>
          <w:b/>
          <w:bCs/>
          <w:color w:val="232323"/>
          <w:sz w:val="24"/>
          <w:szCs w:val="24"/>
          <w:lang w:val="es-MX"/>
        </w:rPr>
        <w:t>ministra de Trabajo Gloria Inés Ramírez</w:t>
      </w:r>
      <w:r w:rsidRPr="009C3C9F">
        <w:rPr>
          <w:rFonts w:ascii="Arial" w:eastAsia="Times New Roman" w:hAnsi="Arial" w:cs="Arial"/>
          <w:color w:val="232323"/>
          <w:sz w:val="24"/>
          <w:szCs w:val="24"/>
          <w:lang w:val="es-MX"/>
        </w:rPr>
        <w:t> manifestó: “ha sido un gran honor entregarle al país, el proyecto que asegure al país un sistema pensional, vimos un proceso democrático, basado en el respeto. Aquí no hubo maña, se trabajó con transparencia, esta reforma que es plural, incluyente y transparente. Con esta reforma pensional se sacará de la pobreza extrema a más de 3 millones de adultos mayores”. </w:t>
      </w:r>
    </w:p>
    <w:p w:rsidR="009C3C9F" w:rsidRPr="009C3C9F" w:rsidRDefault="009C3C9F" w:rsidP="009C3C9F">
      <w:pPr>
        <w:spacing w:after="375" w:line="420" w:lineRule="atLeast"/>
        <w:rPr>
          <w:rFonts w:ascii="Arial" w:eastAsia="Times New Roman" w:hAnsi="Arial" w:cs="Arial"/>
          <w:color w:val="232323"/>
          <w:sz w:val="24"/>
          <w:szCs w:val="24"/>
          <w:lang w:val="es-MX"/>
        </w:rPr>
      </w:pPr>
      <w:r w:rsidRPr="009C3C9F">
        <w:rPr>
          <w:rFonts w:ascii="Arial" w:eastAsia="Times New Roman" w:hAnsi="Arial" w:cs="Arial"/>
          <w:color w:val="232323"/>
          <w:sz w:val="24"/>
          <w:szCs w:val="24"/>
          <w:lang w:val="es-MX"/>
        </w:rPr>
        <w:t>Finalmente, el </w:t>
      </w:r>
      <w:r w:rsidRPr="009C3C9F">
        <w:rPr>
          <w:rFonts w:ascii="Arial" w:eastAsia="Times New Roman" w:hAnsi="Arial" w:cs="Arial"/>
          <w:b/>
          <w:bCs/>
          <w:color w:val="232323"/>
          <w:sz w:val="24"/>
          <w:szCs w:val="24"/>
          <w:lang w:val="es-MX"/>
        </w:rPr>
        <w:t>presidente del Senado Alexander López Maya</w:t>
      </w:r>
      <w:r w:rsidRPr="009C3C9F">
        <w:rPr>
          <w:rFonts w:ascii="Arial" w:eastAsia="Times New Roman" w:hAnsi="Arial" w:cs="Arial"/>
          <w:color w:val="232323"/>
          <w:sz w:val="24"/>
          <w:szCs w:val="24"/>
          <w:lang w:val="es-MX"/>
        </w:rPr>
        <w:t> manifestó, “avanzamos en este primer debate de la reforma pensional de una manera democrática y amplia con el único fin, de mejorarle las condiciones de vida de los colombianos” </w:t>
      </w:r>
    </w:p>
    <w:p w:rsidR="009C3C9F" w:rsidRDefault="009C3C9F">
      <w:pPr>
        <w:rPr>
          <w:lang w:val="es-MX"/>
        </w:rPr>
      </w:pPr>
    </w:p>
    <w:p w:rsidR="009C3C9F" w:rsidRDefault="009C3C9F">
      <w:pPr>
        <w:rPr>
          <w:lang w:val="es-MX"/>
        </w:rPr>
      </w:pPr>
    </w:p>
    <w:p w:rsidR="009C3C9F" w:rsidRPr="009C3C9F" w:rsidRDefault="009C3C9F">
      <w:pPr>
        <w:rPr>
          <w:lang w:val="es-MX"/>
        </w:rPr>
      </w:pPr>
    </w:p>
    <w:sectPr w:rsidR="009C3C9F" w:rsidRPr="009C3C9F" w:rsidSect="009C3C9F">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A2F9A"/>
    <w:multiLevelType w:val="multilevel"/>
    <w:tmpl w:val="A682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464654"/>
    <w:multiLevelType w:val="multilevel"/>
    <w:tmpl w:val="794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B92B9B"/>
    <w:multiLevelType w:val="multilevel"/>
    <w:tmpl w:val="4058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3B3DBB"/>
    <w:multiLevelType w:val="multilevel"/>
    <w:tmpl w:val="DF22D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C9F"/>
    <w:rsid w:val="00531FF8"/>
    <w:rsid w:val="009C3C9F"/>
    <w:rsid w:val="00A40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A54E"/>
  <w15:chartTrackingRefBased/>
  <w15:docId w15:val="{95B4B5B0-45CE-4D7B-AA3F-074E2F96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9C3C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3C9F"/>
    <w:rPr>
      <w:rFonts w:ascii="Times New Roman" w:eastAsia="Times New Roman" w:hAnsi="Times New Roman" w:cs="Times New Roman"/>
      <w:b/>
      <w:bCs/>
      <w:kern w:val="36"/>
      <w:sz w:val="48"/>
      <w:szCs w:val="48"/>
    </w:rPr>
  </w:style>
  <w:style w:type="character" w:customStyle="1" w:styleId="category-name">
    <w:name w:val="category-name"/>
    <w:basedOn w:val="Fuentedeprrafopredeter"/>
    <w:rsid w:val="009C3C9F"/>
  </w:style>
  <w:style w:type="character" w:styleId="Hipervnculo">
    <w:name w:val="Hyperlink"/>
    <w:basedOn w:val="Fuentedeprrafopredeter"/>
    <w:uiPriority w:val="99"/>
    <w:semiHidden/>
    <w:unhideWhenUsed/>
    <w:rsid w:val="009C3C9F"/>
    <w:rPr>
      <w:color w:val="0000FF"/>
      <w:u w:val="single"/>
    </w:rPr>
  </w:style>
  <w:style w:type="character" w:customStyle="1" w:styleId="published">
    <w:name w:val="published"/>
    <w:basedOn w:val="Fuentedeprrafopredeter"/>
    <w:rsid w:val="009C3C9F"/>
  </w:style>
  <w:style w:type="character" w:customStyle="1" w:styleId="hits">
    <w:name w:val="hits"/>
    <w:basedOn w:val="Fuentedeprrafopredeter"/>
    <w:rsid w:val="009C3C9F"/>
  </w:style>
  <w:style w:type="paragraph" w:styleId="NormalWeb">
    <w:name w:val="Normal (Web)"/>
    <w:basedOn w:val="Normal"/>
    <w:uiPriority w:val="99"/>
    <w:semiHidden/>
    <w:unhideWhenUsed/>
    <w:rsid w:val="009C3C9F"/>
    <w:pPr>
      <w:spacing w:before="100" w:beforeAutospacing="1" w:after="100" w:afterAutospacing="1" w:line="240" w:lineRule="auto"/>
    </w:pPr>
    <w:rPr>
      <w:rFonts w:ascii="Times New Roman" w:eastAsia="Times New Roman" w:hAnsi="Times New Roman" w:cs="Times New Roman"/>
      <w:sz w:val="24"/>
      <w:szCs w:val="24"/>
    </w:rPr>
  </w:style>
  <w:style w:type="character" w:styleId="nfasis">
    <w:name w:val="Emphasis"/>
    <w:basedOn w:val="Fuentedeprrafopredeter"/>
    <w:uiPriority w:val="20"/>
    <w:qFormat/>
    <w:rsid w:val="009C3C9F"/>
    <w:rPr>
      <w:i/>
      <w:iCs/>
    </w:rPr>
  </w:style>
  <w:style w:type="character" w:styleId="Textoennegrita">
    <w:name w:val="Strong"/>
    <w:basedOn w:val="Fuentedeprrafopredeter"/>
    <w:uiPriority w:val="22"/>
    <w:qFormat/>
    <w:rsid w:val="009C3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666">
      <w:bodyDiv w:val="1"/>
      <w:marLeft w:val="0"/>
      <w:marRight w:val="0"/>
      <w:marTop w:val="0"/>
      <w:marBottom w:val="0"/>
      <w:divBdr>
        <w:top w:val="none" w:sz="0" w:space="0" w:color="auto"/>
        <w:left w:val="none" w:sz="0" w:space="0" w:color="auto"/>
        <w:bottom w:val="none" w:sz="0" w:space="0" w:color="auto"/>
        <w:right w:val="none" w:sz="0" w:space="0" w:color="auto"/>
      </w:divBdr>
      <w:divsChild>
        <w:div w:id="287976568">
          <w:marLeft w:val="0"/>
          <w:marRight w:val="0"/>
          <w:marTop w:val="0"/>
          <w:marBottom w:val="0"/>
          <w:divBdr>
            <w:top w:val="none" w:sz="0" w:space="0" w:color="auto"/>
            <w:left w:val="none" w:sz="0" w:space="0" w:color="auto"/>
            <w:bottom w:val="none" w:sz="0" w:space="0" w:color="auto"/>
            <w:right w:val="none" w:sz="0" w:space="0" w:color="auto"/>
          </w:divBdr>
          <w:divsChild>
            <w:div w:id="731854132">
              <w:marLeft w:val="0"/>
              <w:marRight w:val="0"/>
              <w:marTop w:val="0"/>
              <w:marBottom w:val="0"/>
              <w:divBdr>
                <w:top w:val="none" w:sz="0" w:space="0" w:color="auto"/>
                <w:left w:val="none" w:sz="0" w:space="0" w:color="auto"/>
                <w:bottom w:val="none" w:sz="0" w:space="0" w:color="auto"/>
                <w:right w:val="none" w:sz="0" w:space="0" w:color="auto"/>
              </w:divBdr>
              <w:divsChild>
                <w:div w:id="125770991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705594412">
      <w:bodyDiv w:val="1"/>
      <w:marLeft w:val="0"/>
      <w:marRight w:val="0"/>
      <w:marTop w:val="0"/>
      <w:marBottom w:val="0"/>
      <w:divBdr>
        <w:top w:val="none" w:sz="0" w:space="0" w:color="auto"/>
        <w:left w:val="none" w:sz="0" w:space="0" w:color="auto"/>
        <w:bottom w:val="none" w:sz="0" w:space="0" w:color="auto"/>
        <w:right w:val="none" w:sz="0" w:space="0" w:color="auto"/>
      </w:divBdr>
      <w:divsChild>
        <w:div w:id="1661998958">
          <w:marLeft w:val="0"/>
          <w:marRight w:val="0"/>
          <w:marTop w:val="0"/>
          <w:marBottom w:val="540"/>
          <w:divBdr>
            <w:top w:val="none" w:sz="0" w:space="0" w:color="auto"/>
            <w:left w:val="none" w:sz="0" w:space="0" w:color="auto"/>
            <w:bottom w:val="none" w:sz="0" w:space="0" w:color="auto"/>
            <w:right w:val="none" w:sz="0" w:space="0" w:color="auto"/>
          </w:divBdr>
        </w:div>
        <w:div w:id="1506438261">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nado.gov.co/index.php/el-senado/noticia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1429</Words>
  <Characters>8147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2024-03-16T01:26:00Z</dcterms:created>
  <dcterms:modified xsi:type="dcterms:W3CDTF">2024-03-16T01:40:00Z</dcterms:modified>
</cp:coreProperties>
</file>