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5DA8" w:rsidRPr="00235DA8" w:rsidRDefault="00235DA8" w:rsidP="00235DA8">
      <w:pPr>
        <w:spacing w:before="100" w:beforeAutospacing="1" w:after="100" w:afterAutospacing="1" w:line="240" w:lineRule="auto"/>
        <w:jc w:val="both"/>
        <w:outlineLvl w:val="0"/>
        <w:rPr>
          <w:rFonts w:eastAsia="Times New Roman" w:cstheme="minorHAnsi"/>
          <w:b/>
          <w:bCs/>
          <w:color w:val="141414"/>
          <w:kern w:val="36"/>
          <w:sz w:val="28"/>
          <w:szCs w:val="28"/>
          <w:lang w:val="es-CO"/>
        </w:rPr>
      </w:pPr>
      <w:r w:rsidRPr="00235DA8">
        <w:rPr>
          <w:rFonts w:eastAsia="Times New Roman" w:cstheme="minorHAnsi"/>
          <w:b/>
          <w:bCs/>
          <w:color w:val="141414"/>
          <w:kern w:val="36"/>
          <w:sz w:val="28"/>
          <w:szCs w:val="28"/>
          <w:lang w:val="es-CO"/>
        </w:rPr>
        <w:t>Reforma pensional: las claves del documento que se discutirá en segundo debate</w:t>
      </w:r>
    </w:p>
    <w:p w:rsidR="00235DA8" w:rsidRPr="00235DA8" w:rsidRDefault="00235DA8" w:rsidP="00235DA8">
      <w:pPr>
        <w:spacing w:before="100" w:beforeAutospacing="1" w:after="100" w:afterAutospacing="1" w:line="240" w:lineRule="auto"/>
        <w:jc w:val="both"/>
        <w:outlineLvl w:val="1"/>
        <w:rPr>
          <w:rFonts w:eastAsia="Times New Roman" w:cstheme="minorHAnsi"/>
          <w:color w:val="141414"/>
          <w:sz w:val="28"/>
          <w:szCs w:val="28"/>
          <w:lang w:val="es-CO"/>
        </w:rPr>
      </w:pPr>
      <w:r w:rsidRPr="00235DA8">
        <w:rPr>
          <w:rFonts w:eastAsia="Times New Roman" w:cstheme="minorHAnsi"/>
          <w:color w:val="141414"/>
          <w:sz w:val="28"/>
          <w:szCs w:val="28"/>
          <w:lang w:val="es-CO"/>
        </w:rPr>
        <w:t>El documento mantiene los cuatro pilares que conforman la reforma y el umbral del pilar contributivo, que es de los puntos más polémicos. Estos son los detalles.</w:t>
      </w:r>
    </w:p>
    <w:p w:rsidR="00235DA8" w:rsidRPr="00235DA8" w:rsidRDefault="00235DA8" w:rsidP="00235DA8">
      <w:pPr>
        <w:spacing w:after="0" w:line="240" w:lineRule="auto"/>
        <w:jc w:val="both"/>
        <w:rPr>
          <w:rFonts w:eastAsia="Times New Roman" w:cstheme="minorHAnsi"/>
          <w:color w:val="141414"/>
          <w:sz w:val="28"/>
          <w:szCs w:val="28"/>
          <w:lang w:val="es-CO"/>
        </w:rPr>
      </w:pPr>
      <w:r w:rsidRPr="00235DA8">
        <w:rPr>
          <w:rFonts w:eastAsia="Times New Roman" w:cstheme="minorHAnsi"/>
          <w:color w:val="141414"/>
          <w:sz w:val="28"/>
          <w:szCs w:val="28"/>
          <w:lang w:val="es-CO"/>
        </w:rPr>
        <w:t>04 de octubre de 2023 - 04:37 p. m.</w:t>
      </w:r>
    </w:p>
    <w:p w:rsidR="00235DA8" w:rsidRPr="00235DA8" w:rsidRDefault="00235DA8" w:rsidP="00235DA8">
      <w:pPr>
        <w:spacing w:after="0" w:line="240" w:lineRule="auto"/>
        <w:jc w:val="both"/>
        <w:rPr>
          <w:rFonts w:eastAsia="Times New Roman" w:cstheme="minorHAnsi"/>
          <w:color w:val="141414"/>
          <w:sz w:val="28"/>
          <w:szCs w:val="28"/>
          <w:lang w:val="es-CO"/>
        </w:rPr>
      </w:pPr>
    </w:p>
    <w:p w:rsidR="00235DA8" w:rsidRDefault="00235DA8" w:rsidP="00235DA8">
      <w:pPr>
        <w:spacing w:after="0" w:line="240" w:lineRule="auto"/>
        <w:jc w:val="both"/>
        <w:rPr>
          <w:rFonts w:eastAsia="Times New Roman" w:cstheme="minorHAnsi"/>
          <w:color w:val="141414"/>
          <w:sz w:val="28"/>
          <w:szCs w:val="28"/>
          <w:lang w:val="es-CO"/>
        </w:rPr>
      </w:pPr>
      <w:r w:rsidRPr="00235DA8">
        <w:rPr>
          <w:rFonts w:eastAsia="Times New Roman" w:cstheme="minorHAnsi"/>
          <w:color w:val="141414"/>
          <w:sz w:val="28"/>
          <w:szCs w:val="28"/>
          <w:lang w:val="es-CO"/>
        </w:rPr>
        <w:t>La ministra del Trabajo, Gloria Inés Ramírez Ríos, tras radicar en el Senado de la República, la ponencia para el segundo debate de la reforma pensional.</w:t>
      </w:r>
    </w:p>
    <w:p w:rsidR="00235DA8" w:rsidRPr="00235DA8" w:rsidRDefault="00235DA8" w:rsidP="00235DA8">
      <w:pPr>
        <w:spacing w:after="0" w:line="240" w:lineRule="auto"/>
        <w:jc w:val="both"/>
        <w:rPr>
          <w:rFonts w:eastAsia="Times New Roman" w:cstheme="minorHAnsi"/>
          <w:color w:val="141414"/>
          <w:sz w:val="28"/>
          <w:szCs w:val="28"/>
          <w:lang w:val="es-CO"/>
        </w:rPr>
      </w:pPr>
    </w:p>
    <w:p w:rsidR="00235DA8" w:rsidRPr="00235DA8" w:rsidRDefault="00235DA8" w:rsidP="00235DA8">
      <w:pPr>
        <w:spacing w:after="100" w:afterAutospacing="1" w:line="240" w:lineRule="auto"/>
        <w:jc w:val="both"/>
        <w:rPr>
          <w:rFonts w:eastAsia="Times New Roman" w:cstheme="minorHAnsi"/>
          <w:color w:val="141414"/>
          <w:sz w:val="28"/>
          <w:szCs w:val="28"/>
          <w:lang w:val="es-CO"/>
        </w:rPr>
      </w:pPr>
      <w:r w:rsidRPr="00235DA8">
        <w:rPr>
          <w:rFonts w:eastAsia="Times New Roman" w:cstheme="minorHAnsi"/>
          <w:color w:val="141414"/>
          <w:sz w:val="28"/>
          <w:szCs w:val="28"/>
          <w:lang w:val="es-CO"/>
        </w:rPr>
        <w:t>La ministra del Trabajo, Gloria Inés Ramírez Ríos, radicó en el Senado el informe de ponencia para segundo debate de la reforma pensional, que es el Proyecto de Ley N°. 293 de 2023 Senado “por medio de la cual se establece el Sistema de Protección Social Integral para la Vejez, Invalidez y Muerte de Origen Común, y se Dictan Otras Disposiciones”.</w:t>
      </w:r>
    </w:p>
    <w:p w:rsidR="00235DA8" w:rsidRPr="00235DA8" w:rsidRDefault="00235DA8" w:rsidP="00235DA8">
      <w:pPr>
        <w:spacing w:after="100" w:afterAutospacing="1" w:line="240" w:lineRule="auto"/>
        <w:jc w:val="both"/>
        <w:rPr>
          <w:rFonts w:eastAsia="Times New Roman" w:cstheme="minorHAnsi"/>
          <w:color w:val="141414"/>
          <w:sz w:val="28"/>
          <w:szCs w:val="28"/>
          <w:lang w:val="es-CO"/>
        </w:rPr>
      </w:pPr>
      <w:r w:rsidRPr="00235DA8">
        <w:rPr>
          <w:rFonts w:eastAsia="Times New Roman" w:cstheme="minorHAnsi"/>
          <w:color w:val="141414"/>
          <w:sz w:val="28"/>
          <w:szCs w:val="28"/>
          <w:lang w:val="es-CO"/>
        </w:rPr>
        <w:t>La ponencia “está firmada por 5 senadores de la República, después de un trabajo técnico fuerte, juicioso y sobre todo con los estudios actuariales de respaldo, esta ponencia mayoritaria es la que el Gobierno del Cambio estará apoyando y queremos decir que da toda la tranquilidad para que Colombia siga avanzando hacia un país de derechos”, dijo la ministra.</w:t>
      </w:r>
    </w:p>
    <w:p w:rsidR="00235DA8" w:rsidRPr="00235DA8" w:rsidRDefault="00235DA8" w:rsidP="00235DA8">
      <w:pPr>
        <w:spacing w:after="100" w:afterAutospacing="1" w:line="240" w:lineRule="auto"/>
        <w:jc w:val="both"/>
        <w:rPr>
          <w:rFonts w:eastAsia="Times New Roman" w:cstheme="minorHAnsi"/>
          <w:color w:val="141414"/>
          <w:sz w:val="28"/>
          <w:szCs w:val="28"/>
          <w:lang w:val="es-CO"/>
        </w:rPr>
      </w:pPr>
      <w:r w:rsidRPr="00235DA8">
        <w:rPr>
          <w:rFonts w:eastAsia="Times New Roman" w:cstheme="minorHAnsi"/>
          <w:color w:val="141414"/>
          <w:sz w:val="28"/>
          <w:szCs w:val="28"/>
          <w:lang w:val="es-CO"/>
        </w:rPr>
        <w:t xml:space="preserve">El documento que contiene 94 artículos fue firmado por: Fabián </w:t>
      </w:r>
      <w:proofErr w:type="spellStart"/>
      <w:r w:rsidRPr="00235DA8">
        <w:rPr>
          <w:rFonts w:eastAsia="Times New Roman" w:cstheme="minorHAnsi"/>
          <w:color w:val="141414"/>
          <w:sz w:val="28"/>
          <w:szCs w:val="28"/>
          <w:lang w:val="es-CO"/>
        </w:rPr>
        <w:t>Diaz</w:t>
      </w:r>
      <w:proofErr w:type="spellEnd"/>
      <w:r w:rsidRPr="00235DA8">
        <w:rPr>
          <w:rFonts w:eastAsia="Times New Roman" w:cstheme="minorHAnsi"/>
          <w:color w:val="141414"/>
          <w:sz w:val="28"/>
          <w:szCs w:val="28"/>
          <w:lang w:val="es-CO"/>
        </w:rPr>
        <w:t xml:space="preserve"> Plata, Berenice Bedoya Pérez, </w:t>
      </w:r>
      <w:proofErr w:type="spellStart"/>
      <w:r w:rsidRPr="00235DA8">
        <w:rPr>
          <w:rFonts w:eastAsia="Times New Roman" w:cstheme="minorHAnsi"/>
          <w:color w:val="141414"/>
          <w:sz w:val="28"/>
          <w:szCs w:val="28"/>
          <w:lang w:val="es-CO"/>
        </w:rPr>
        <w:t>Polivio</w:t>
      </w:r>
      <w:proofErr w:type="spellEnd"/>
      <w:r w:rsidRPr="00235DA8">
        <w:rPr>
          <w:rFonts w:eastAsia="Times New Roman" w:cstheme="minorHAnsi"/>
          <w:color w:val="141414"/>
          <w:sz w:val="28"/>
          <w:szCs w:val="28"/>
          <w:lang w:val="es-CO"/>
        </w:rPr>
        <w:t xml:space="preserve"> Leandro Rosales y Omar de Jesús Restrepo.</w:t>
      </w:r>
    </w:p>
    <w:p w:rsidR="00235DA8" w:rsidRPr="00235DA8" w:rsidRDefault="00235DA8" w:rsidP="00235DA8">
      <w:pPr>
        <w:spacing w:after="100" w:afterAutospacing="1" w:line="240" w:lineRule="auto"/>
        <w:jc w:val="both"/>
        <w:rPr>
          <w:rFonts w:eastAsia="Times New Roman" w:cstheme="minorHAnsi"/>
          <w:color w:val="141414"/>
          <w:sz w:val="28"/>
          <w:szCs w:val="28"/>
          <w:lang w:val="es-CO"/>
        </w:rPr>
      </w:pPr>
      <w:r w:rsidRPr="00235DA8">
        <w:rPr>
          <w:rFonts w:eastAsia="Times New Roman" w:cstheme="minorHAnsi"/>
          <w:color w:val="141414"/>
          <w:sz w:val="28"/>
          <w:szCs w:val="28"/>
          <w:lang w:val="es-CO"/>
        </w:rPr>
        <w:t xml:space="preserve">La ponencia mantiene el sistema de pilares: solidario, </w:t>
      </w:r>
      <w:proofErr w:type="spellStart"/>
      <w:r w:rsidRPr="00235DA8">
        <w:rPr>
          <w:rFonts w:eastAsia="Times New Roman" w:cstheme="minorHAnsi"/>
          <w:color w:val="141414"/>
          <w:sz w:val="28"/>
          <w:szCs w:val="28"/>
          <w:lang w:val="es-CO"/>
        </w:rPr>
        <w:t>semicontributivo</w:t>
      </w:r>
      <w:proofErr w:type="spellEnd"/>
      <w:r w:rsidRPr="00235DA8">
        <w:rPr>
          <w:rFonts w:eastAsia="Times New Roman" w:cstheme="minorHAnsi"/>
          <w:color w:val="141414"/>
          <w:sz w:val="28"/>
          <w:szCs w:val="28"/>
          <w:lang w:val="es-CO"/>
        </w:rPr>
        <w:t>, contributivo y de ahorro individual, el fondo de ahorro con el único fin de utilizar los recursos para pagar las mesadas y las cotizaciones hasta tres salarios mínimos serán administradas por Colpensiones, el restante pasará a los fondos privados.</w:t>
      </w:r>
    </w:p>
    <w:p w:rsidR="00235DA8" w:rsidRDefault="00235DA8" w:rsidP="00235DA8">
      <w:pPr>
        <w:spacing w:after="0" w:line="240" w:lineRule="auto"/>
        <w:jc w:val="both"/>
        <w:rPr>
          <w:rFonts w:eastAsia="Times New Roman" w:cstheme="minorHAnsi"/>
          <w:color w:val="141414"/>
          <w:sz w:val="28"/>
          <w:szCs w:val="28"/>
          <w:lang w:val="es-CO"/>
        </w:rPr>
      </w:pPr>
      <w:r w:rsidRPr="00235DA8">
        <w:rPr>
          <w:rFonts w:eastAsia="Times New Roman" w:cstheme="minorHAnsi"/>
          <w:color w:val="141414"/>
          <w:sz w:val="28"/>
          <w:szCs w:val="28"/>
          <w:lang w:val="es-CO"/>
        </w:rPr>
        <w:t>Las opiniones de nuestros columnistas que más generaron debate en la semana.</w:t>
      </w:r>
    </w:p>
    <w:p w:rsidR="00235DA8" w:rsidRPr="00235DA8" w:rsidRDefault="00235DA8" w:rsidP="00235DA8">
      <w:pPr>
        <w:spacing w:after="0" w:line="240" w:lineRule="auto"/>
        <w:jc w:val="both"/>
        <w:rPr>
          <w:rFonts w:eastAsia="Times New Roman" w:cstheme="minorHAnsi"/>
          <w:color w:val="141414"/>
          <w:sz w:val="28"/>
          <w:szCs w:val="28"/>
          <w:lang w:val="es-CO"/>
        </w:rPr>
      </w:pPr>
    </w:p>
    <w:p w:rsidR="00235DA8" w:rsidRPr="00235DA8" w:rsidRDefault="00235DA8" w:rsidP="00235DA8">
      <w:pPr>
        <w:pBdr>
          <w:bottom w:val="single" w:sz="6" w:space="1" w:color="auto"/>
        </w:pBdr>
        <w:spacing w:after="0" w:line="240" w:lineRule="auto"/>
        <w:jc w:val="both"/>
        <w:rPr>
          <w:rFonts w:eastAsia="Times New Roman" w:cstheme="minorHAnsi"/>
          <w:vanish/>
          <w:sz w:val="28"/>
          <w:szCs w:val="28"/>
        </w:rPr>
      </w:pPr>
      <w:r w:rsidRPr="00235DA8">
        <w:rPr>
          <w:rFonts w:eastAsia="Times New Roman" w:cstheme="minorHAnsi"/>
          <w:vanish/>
          <w:sz w:val="28"/>
          <w:szCs w:val="28"/>
        </w:rPr>
        <w:t>Principio del formulario</w:t>
      </w:r>
    </w:p>
    <w:p w:rsidR="00235DA8" w:rsidRPr="00235DA8" w:rsidRDefault="00235DA8" w:rsidP="00235DA8">
      <w:pPr>
        <w:spacing w:after="100" w:afterAutospacing="1" w:line="240" w:lineRule="auto"/>
        <w:jc w:val="both"/>
        <w:rPr>
          <w:rFonts w:eastAsia="Times New Roman" w:cstheme="minorHAnsi"/>
          <w:color w:val="141414"/>
          <w:sz w:val="28"/>
          <w:szCs w:val="28"/>
          <w:lang w:val="es-CO"/>
        </w:rPr>
      </w:pPr>
      <w:r w:rsidRPr="00235DA8">
        <w:rPr>
          <w:rFonts w:eastAsia="Times New Roman" w:cstheme="minorHAnsi"/>
          <w:color w:val="141414"/>
          <w:sz w:val="28"/>
          <w:szCs w:val="28"/>
          <w:lang w:val="es-CO"/>
        </w:rPr>
        <w:t xml:space="preserve">Además, este documento crea un subsidio que no se tenía. “El Componente de Prima Media del Pilar Contributivo, el valor de las cotizaciones traído a valor presente con la inflación fin de período del Índice de Precios al Consumidor </w:t>
      </w:r>
      <w:r w:rsidRPr="00235DA8">
        <w:rPr>
          <w:rFonts w:eastAsia="Times New Roman" w:cstheme="minorHAnsi"/>
          <w:color w:val="141414"/>
          <w:sz w:val="28"/>
          <w:szCs w:val="28"/>
          <w:lang w:val="es-CO"/>
        </w:rPr>
        <w:lastRenderedPageBreak/>
        <w:t>(IPC) publicado por el Departamento Administrativo Nacional de Estadística (DANE) aumentado en un 3 % efectivo anual y un subsidio equivalente al 15 % del saldo resultante”, dice.</w:t>
      </w:r>
    </w:p>
    <w:p w:rsidR="00235DA8" w:rsidRPr="00235DA8" w:rsidRDefault="00235DA8" w:rsidP="00235DA8">
      <w:pPr>
        <w:spacing w:after="100" w:afterAutospacing="1" w:line="240" w:lineRule="auto"/>
        <w:jc w:val="both"/>
        <w:rPr>
          <w:rFonts w:eastAsia="Times New Roman" w:cstheme="minorHAnsi"/>
          <w:color w:val="141414"/>
          <w:sz w:val="28"/>
          <w:szCs w:val="28"/>
          <w:lang w:val="es-CO"/>
        </w:rPr>
      </w:pPr>
      <w:r w:rsidRPr="00235DA8">
        <w:rPr>
          <w:rFonts w:eastAsia="Times New Roman" w:cstheme="minorHAnsi"/>
          <w:color w:val="141414"/>
          <w:sz w:val="28"/>
          <w:szCs w:val="28"/>
          <w:lang w:val="es-CO"/>
        </w:rPr>
        <w:t>“Esta es una ponencia construida con todos los sectores, con los distintos equipos de trabajo de esta comisión, una ponencia incluyente y garantista”, dijo, Martha Peralta, senadora y coordinadora ponente.</w:t>
      </w:r>
    </w:p>
    <w:p w:rsidR="00235DA8" w:rsidRPr="00235DA8" w:rsidRDefault="00235DA8" w:rsidP="00235DA8">
      <w:pPr>
        <w:spacing w:after="100" w:afterAutospacing="1" w:line="240" w:lineRule="auto"/>
        <w:jc w:val="both"/>
        <w:rPr>
          <w:rFonts w:eastAsia="Times New Roman" w:cstheme="minorHAnsi"/>
          <w:color w:val="141414"/>
          <w:sz w:val="28"/>
          <w:szCs w:val="28"/>
          <w:lang w:val="es-CO"/>
        </w:rPr>
      </w:pPr>
      <w:r w:rsidRPr="00235DA8">
        <w:rPr>
          <w:rFonts w:eastAsia="Times New Roman" w:cstheme="minorHAnsi"/>
          <w:color w:val="141414"/>
          <w:sz w:val="28"/>
          <w:szCs w:val="28"/>
          <w:lang w:val="es-CO"/>
        </w:rPr>
        <w:t>Se espera que en los próximos días se agende la fecha para adelantar el segundo debate en plenaria del senado de la República.</w:t>
      </w:r>
    </w:p>
    <w:p w:rsidR="00235DA8" w:rsidRPr="00235DA8" w:rsidRDefault="00235DA8" w:rsidP="00235DA8">
      <w:pPr>
        <w:spacing w:after="100" w:afterAutospacing="1" w:line="240" w:lineRule="auto"/>
        <w:jc w:val="both"/>
        <w:rPr>
          <w:rFonts w:eastAsia="Times New Roman" w:cstheme="minorHAnsi"/>
          <w:color w:val="141414"/>
          <w:sz w:val="28"/>
          <w:szCs w:val="28"/>
          <w:lang w:val="es-CO"/>
        </w:rPr>
      </w:pPr>
      <w:r w:rsidRPr="00235DA8">
        <w:rPr>
          <w:rFonts w:eastAsia="Times New Roman" w:cstheme="minorHAnsi"/>
          <w:color w:val="141414"/>
          <w:sz w:val="28"/>
          <w:szCs w:val="28"/>
          <w:lang w:val="es-CO"/>
        </w:rPr>
        <w:t>De otra parte, este miércoles, la senadora Norma Hurtado radicó primero una ponencia alternativa, que quiere modificar algunos puntos estructurales del proyecto del Gobierno. “Buscamos garantizar viabilidad fiscal, sostenibilidad en el tiempo y protección de la vejez y el ahorro (...) la ponencia es producto de conversaciones consensuadas con expertos, académicos, ciudadanos y actores del sistema pensional”, dijo la senadora.</w:t>
      </w:r>
    </w:p>
    <w:p w:rsidR="00235DA8" w:rsidRPr="00235DA8" w:rsidRDefault="00235DA8" w:rsidP="00235DA8">
      <w:pPr>
        <w:spacing w:after="100" w:afterAutospacing="1" w:line="240" w:lineRule="auto"/>
        <w:jc w:val="both"/>
        <w:rPr>
          <w:rFonts w:eastAsia="Times New Roman" w:cstheme="minorHAnsi"/>
          <w:color w:val="141414"/>
          <w:sz w:val="28"/>
          <w:szCs w:val="28"/>
          <w:lang w:val="es-CO"/>
        </w:rPr>
      </w:pPr>
      <w:r w:rsidRPr="00235DA8">
        <w:rPr>
          <w:rFonts w:eastAsia="Times New Roman" w:cstheme="minorHAnsi"/>
          <w:color w:val="141414"/>
          <w:sz w:val="28"/>
          <w:szCs w:val="28"/>
          <w:lang w:val="es-CO"/>
        </w:rPr>
        <w:t>Según Hurtado, ella y su partido, La U, reconocen la necesidad de realizar cambios al sistema pensional. Entre ellos está la reducción del umbral del pilar contributivo de tres a 1,5 salarios mínimos, una petición que han hecho los fondos privados.</w:t>
      </w:r>
    </w:p>
    <w:p w:rsidR="00235DA8" w:rsidRPr="00235DA8" w:rsidRDefault="00235DA8" w:rsidP="00235DA8">
      <w:pPr>
        <w:spacing w:before="100" w:beforeAutospacing="1" w:after="100" w:afterAutospacing="1" w:line="240" w:lineRule="auto"/>
        <w:jc w:val="both"/>
        <w:outlineLvl w:val="1"/>
        <w:rPr>
          <w:rFonts w:eastAsia="Times New Roman" w:cstheme="minorHAnsi"/>
          <w:b/>
          <w:bCs/>
          <w:color w:val="141414"/>
          <w:sz w:val="28"/>
          <w:szCs w:val="28"/>
          <w:lang w:val="es-CO"/>
        </w:rPr>
      </w:pPr>
      <w:r w:rsidRPr="00235DA8">
        <w:rPr>
          <w:rFonts w:ascii="Segoe UI Symbol" w:eastAsia="Times New Roman" w:hAnsi="Segoe UI Symbol" w:cs="Segoe UI Symbol"/>
          <w:b/>
          <w:bCs/>
          <w:color w:val="141414"/>
          <w:sz w:val="28"/>
          <w:szCs w:val="28"/>
        </w:rPr>
        <w:t>📍</w:t>
      </w:r>
      <w:r w:rsidRPr="00235DA8">
        <w:rPr>
          <w:rFonts w:eastAsia="Times New Roman" w:cstheme="minorHAnsi"/>
          <w:b/>
          <w:bCs/>
          <w:color w:val="141414"/>
          <w:sz w:val="28"/>
          <w:szCs w:val="28"/>
          <w:lang w:val="es-CO"/>
        </w:rPr>
        <w:t xml:space="preserve"> Los pilares de la reforma pensional</w:t>
      </w:r>
    </w:p>
    <w:p w:rsidR="00235DA8" w:rsidRPr="00235DA8" w:rsidRDefault="00235DA8" w:rsidP="00235DA8">
      <w:pPr>
        <w:spacing w:after="100" w:afterAutospacing="1" w:line="240" w:lineRule="auto"/>
        <w:jc w:val="both"/>
        <w:rPr>
          <w:rFonts w:eastAsia="Times New Roman" w:cstheme="minorHAnsi"/>
          <w:color w:val="141414"/>
          <w:sz w:val="28"/>
          <w:szCs w:val="28"/>
          <w:lang w:val="es-CO"/>
        </w:rPr>
      </w:pPr>
      <w:r w:rsidRPr="00235DA8">
        <w:rPr>
          <w:rFonts w:eastAsia="Times New Roman" w:cstheme="minorHAnsi"/>
          <w:color w:val="141414"/>
          <w:sz w:val="28"/>
          <w:szCs w:val="28"/>
          <w:lang w:val="es-CO"/>
        </w:rPr>
        <w:t>La reforma establece cuatro pilares que conformarían el sistema, se trata de:</w:t>
      </w:r>
    </w:p>
    <w:p w:rsidR="00235DA8" w:rsidRPr="00235DA8" w:rsidRDefault="00235DA8" w:rsidP="00235DA8">
      <w:pPr>
        <w:spacing w:after="100" w:afterAutospacing="1" w:line="240" w:lineRule="auto"/>
        <w:jc w:val="both"/>
        <w:rPr>
          <w:rFonts w:eastAsia="Times New Roman" w:cstheme="minorHAnsi"/>
          <w:color w:val="141414"/>
          <w:sz w:val="28"/>
          <w:szCs w:val="28"/>
          <w:lang w:val="es-CO"/>
        </w:rPr>
      </w:pPr>
      <w:r w:rsidRPr="00235DA8">
        <w:rPr>
          <w:rFonts w:eastAsia="Times New Roman" w:cstheme="minorHAnsi"/>
          <w:b/>
          <w:bCs/>
          <w:color w:val="141414"/>
          <w:sz w:val="28"/>
          <w:szCs w:val="28"/>
          <w:lang w:val="es-CO"/>
        </w:rPr>
        <w:t>1. Pilar solidario: </w:t>
      </w:r>
      <w:r w:rsidRPr="00235DA8">
        <w:rPr>
          <w:rFonts w:eastAsia="Times New Roman" w:cstheme="minorHAnsi"/>
          <w:color w:val="141414"/>
          <w:sz w:val="28"/>
          <w:szCs w:val="28"/>
          <w:lang w:val="es-CO"/>
        </w:rPr>
        <w:t>en este se encuentran las personas mayores que no logren tener una pensión. Los beneficiarios recibirán un subsidio por un valor que corresponda, como mínimo, a la línea de pobreza extrema que se certifique para el año 2023. Y aumentará con la inflación (IPC) anual.</w:t>
      </w:r>
    </w:p>
    <w:p w:rsidR="00235DA8" w:rsidRPr="00235DA8" w:rsidRDefault="00235DA8" w:rsidP="00235DA8">
      <w:pPr>
        <w:spacing w:after="100" w:afterAutospacing="1" w:line="240" w:lineRule="auto"/>
        <w:jc w:val="both"/>
        <w:rPr>
          <w:rFonts w:eastAsia="Times New Roman" w:cstheme="minorHAnsi"/>
          <w:color w:val="141414"/>
          <w:sz w:val="28"/>
          <w:szCs w:val="28"/>
          <w:lang w:val="es-CO"/>
        </w:rPr>
      </w:pPr>
      <w:r w:rsidRPr="00235DA8">
        <w:rPr>
          <w:rFonts w:eastAsia="Times New Roman" w:cstheme="minorHAnsi"/>
          <w:b/>
          <w:bCs/>
          <w:color w:val="141414"/>
          <w:sz w:val="28"/>
          <w:szCs w:val="28"/>
          <w:lang w:val="es-CO"/>
        </w:rPr>
        <w:t xml:space="preserve">2. Pilar </w:t>
      </w:r>
      <w:proofErr w:type="spellStart"/>
      <w:r w:rsidRPr="00235DA8">
        <w:rPr>
          <w:rFonts w:eastAsia="Times New Roman" w:cstheme="minorHAnsi"/>
          <w:b/>
          <w:bCs/>
          <w:color w:val="141414"/>
          <w:sz w:val="28"/>
          <w:szCs w:val="28"/>
          <w:lang w:val="es-CO"/>
        </w:rPr>
        <w:t>semicontributivo</w:t>
      </w:r>
      <w:proofErr w:type="spellEnd"/>
      <w:r w:rsidRPr="00235DA8">
        <w:rPr>
          <w:rFonts w:eastAsia="Times New Roman" w:cstheme="minorHAnsi"/>
          <w:b/>
          <w:bCs/>
          <w:color w:val="141414"/>
          <w:sz w:val="28"/>
          <w:szCs w:val="28"/>
          <w:lang w:val="es-CO"/>
        </w:rPr>
        <w:t>: </w:t>
      </w:r>
      <w:r w:rsidRPr="00235DA8">
        <w:rPr>
          <w:rFonts w:eastAsia="Times New Roman" w:cstheme="minorHAnsi"/>
          <w:color w:val="141414"/>
          <w:sz w:val="28"/>
          <w:szCs w:val="28"/>
          <w:lang w:val="es-CO"/>
        </w:rPr>
        <w:t>cubre a las personas que, habiendo cotizado al sistema, a los sesenta y cinco (65) años de edad hombres y sesenta (60) años mujeres, no hayan cumplido los requisitos para acceder a una pensión contributiva, por lo que podrán acceder a una prestación económica.</w:t>
      </w:r>
    </w:p>
    <w:p w:rsidR="00235DA8" w:rsidRPr="00235DA8" w:rsidRDefault="00235DA8" w:rsidP="00235DA8">
      <w:pPr>
        <w:spacing w:after="100" w:afterAutospacing="1" w:line="240" w:lineRule="auto"/>
        <w:jc w:val="both"/>
        <w:rPr>
          <w:rFonts w:eastAsia="Times New Roman" w:cstheme="minorHAnsi"/>
          <w:color w:val="141414"/>
          <w:sz w:val="28"/>
          <w:szCs w:val="28"/>
          <w:lang w:val="es-CO"/>
        </w:rPr>
      </w:pPr>
      <w:r w:rsidRPr="00235DA8">
        <w:rPr>
          <w:rFonts w:eastAsia="Times New Roman" w:cstheme="minorHAnsi"/>
          <w:color w:val="141414"/>
          <w:sz w:val="28"/>
          <w:szCs w:val="28"/>
          <w:lang w:val="es-CO"/>
        </w:rPr>
        <w:t xml:space="preserve">Este beneficio se constituirá en el acceso a una renta vitalicia, que se financiará con recursos del Presupuesto General de la Nación y con sus propios aportes </w:t>
      </w:r>
      <w:r w:rsidRPr="00235DA8">
        <w:rPr>
          <w:rFonts w:eastAsia="Times New Roman" w:cstheme="minorHAnsi"/>
          <w:color w:val="141414"/>
          <w:sz w:val="28"/>
          <w:szCs w:val="28"/>
          <w:lang w:val="es-CO"/>
        </w:rPr>
        <w:lastRenderedPageBreak/>
        <w:t>de</w:t>
      </w:r>
      <w:bookmarkStart w:id="0" w:name="_GoBack"/>
      <w:bookmarkEnd w:id="0"/>
      <w:r w:rsidRPr="00235DA8">
        <w:rPr>
          <w:rFonts w:eastAsia="Times New Roman" w:cstheme="minorHAnsi"/>
          <w:color w:val="141414"/>
          <w:sz w:val="28"/>
          <w:szCs w:val="28"/>
          <w:lang w:val="es-CO"/>
        </w:rPr>
        <w:t xml:space="preserve"> los afiliados. Dentro de este pilar también se incluyen las personas que estén en el Programa de los Beneficios Económicos Periódicos BEPS, de acuerdo con la reglamentación que se encuentre vigente.</w:t>
      </w:r>
    </w:p>
    <w:p w:rsidR="00235DA8" w:rsidRPr="00235DA8" w:rsidRDefault="00235DA8" w:rsidP="00235DA8">
      <w:pPr>
        <w:spacing w:after="100" w:afterAutospacing="1" w:line="240" w:lineRule="auto"/>
        <w:jc w:val="both"/>
        <w:rPr>
          <w:rFonts w:eastAsia="Times New Roman" w:cstheme="minorHAnsi"/>
          <w:color w:val="141414"/>
          <w:sz w:val="28"/>
          <w:szCs w:val="28"/>
          <w:lang w:val="es-CO"/>
        </w:rPr>
      </w:pPr>
      <w:r w:rsidRPr="00235DA8">
        <w:rPr>
          <w:rFonts w:eastAsia="Times New Roman" w:cstheme="minorHAnsi"/>
          <w:b/>
          <w:bCs/>
          <w:color w:val="141414"/>
          <w:sz w:val="28"/>
          <w:szCs w:val="28"/>
          <w:lang w:val="es-CO"/>
        </w:rPr>
        <w:t>3. Pilar contributivo:</w:t>
      </w:r>
      <w:r w:rsidRPr="00235DA8">
        <w:rPr>
          <w:rFonts w:eastAsia="Times New Roman" w:cstheme="minorHAnsi"/>
          <w:color w:val="141414"/>
          <w:sz w:val="28"/>
          <w:szCs w:val="28"/>
          <w:lang w:val="es-CO"/>
        </w:rPr>
        <w:t> “está dirigido a cubrir a los(as) trabajadores(as) dependientes e independientes, servidores(as) públicos y a las personas con capacidad de pago para efectuar cotizaciones sobre un ingreso igual o superior a un (1) salario mínimo legal vigente”, según el documento.</w:t>
      </w:r>
    </w:p>
    <w:p w:rsidR="00235DA8" w:rsidRPr="00235DA8" w:rsidRDefault="00235DA8" w:rsidP="00235DA8">
      <w:pPr>
        <w:spacing w:after="100" w:afterAutospacing="1" w:line="240" w:lineRule="auto"/>
        <w:jc w:val="both"/>
        <w:rPr>
          <w:rFonts w:eastAsia="Times New Roman" w:cstheme="minorHAnsi"/>
          <w:color w:val="141414"/>
          <w:sz w:val="28"/>
          <w:szCs w:val="28"/>
          <w:lang w:val="es-CO"/>
        </w:rPr>
      </w:pPr>
      <w:r w:rsidRPr="00235DA8">
        <w:rPr>
          <w:rFonts w:eastAsia="Times New Roman" w:cstheme="minorHAnsi"/>
          <w:color w:val="141414"/>
          <w:sz w:val="28"/>
          <w:szCs w:val="28"/>
          <w:lang w:val="es-CO"/>
        </w:rPr>
        <w:t>La cotización se mantiene en un 16 % del Ingreso Base de Cotización. Los empleadores pagarán el 75 % de la cotización total y los trabajadores el 25 % restante.</w:t>
      </w:r>
    </w:p>
    <w:p w:rsidR="00235DA8" w:rsidRPr="00235DA8" w:rsidRDefault="00235DA8" w:rsidP="00235DA8">
      <w:pPr>
        <w:spacing w:after="100" w:afterAutospacing="1" w:line="240" w:lineRule="auto"/>
        <w:jc w:val="both"/>
        <w:rPr>
          <w:rFonts w:eastAsia="Times New Roman" w:cstheme="minorHAnsi"/>
          <w:color w:val="141414"/>
          <w:sz w:val="28"/>
          <w:szCs w:val="28"/>
          <w:lang w:val="es-CO"/>
        </w:rPr>
      </w:pPr>
      <w:r w:rsidRPr="00235DA8">
        <w:rPr>
          <w:rFonts w:eastAsia="Times New Roman" w:cstheme="minorHAnsi"/>
          <w:color w:val="141414"/>
          <w:sz w:val="28"/>
          <w:szCs w:val="28"/>
          <w:lang w:val="es-CO"/>
        </w:rPr>
        <w:t>Este pilar está hecho de dos componentes:</w:t>
      </w:r>
    </w:p>
    <w:p w:rsidR="00235DA8" w:rsidRPr="00235DA8" w:rsidRDefault="00235DA8" w:rsidP="00235DA8">
      <w:pPr>
        <w:numPr>
          <w:ilvl w:val="0"/>
          <w:numId w:val="1"/>
        </w:numPr>
        <w:spacing w:before="100" w:beforeAutospacing="1" w:after="100" w:afterAutospacing="1" w:line="240" w:lineRule="auto"/>
        <w:jc w:val="both"/>
        <w:rPr>
          <w:rFonts w:eastAsia="Times New Roman" w:cstheme="minorHAnsi"/>
          <w:color w:val="141414"/>
          <w:sz w:val="28"/>
          <w:szCs w:val="28"/>
          <w:lang w:val="es-CO"/>
        </w:rPr>
      </w:pPr>
      <w:r w:rsidRPr="00235DA8">
        <w:rPr>
          <w:rFonts w:eastAsia="Times New Roman" w:cstheme="minorHAnsi"/>
          <w:b/>
          <w:bCs/>
          <w:color w:val="141414"/>
          <w:sz w:val="28"/>
          <w:szCs w:val="28"/>
          <w:lang w:val="es-CO"/>
        </w:rPr>
        <w:t>El Componente de Prima Media: </w:t>
      </w:r>
      <w:r w:rsidRPr="00235DA8">
        <w:rPr>
          <w:rFonts w:eastAsia="Times New Roman" w:cstheme="minorHAnsi"/>
          <w:color w:val="141414"/>
          <w:sz w:val="28"/>
          <w:szCs w:val="28"/>
          <w:lang w:val="es-CO"/>
        </w:rPr>
        <w:t xml:space="preserve">allí están todas las personas afiliadas al sistema y recibirá las cotizaciones por los ingresos base de cotización entre un (1) </w:t>
      </w:r>
      <w:proofErr w:type="spellStart"/>
      <w:r w:rsidRPr="00235DA8">
        <w:rPr>
          <w:rFonts w:eastAsia="Times New Roman" w:cstheme="minorHAnsi"/>
          <w:color w:val="141414"/>
          <w:sz w:val="28"/>
          <w:szCs w:val="28"/>
          <w:lang w:val="es-CO"/>
        </w:rPr>
        <w:t>smlmv</w:t>
      </w:r>
      <w:proofErr w:type="spellEnd"/>
      <w:r w:rsidRPr="00235DA8">
        <w:rPr>
          <w:rFonts w:eastAsia="Times New Roman" w:cstheme="minorHAnsi"/>
          <w:color w:val="141414"/>
          <w:sz w:val="28"/>
          <w:szCs w:val="28"/>
          <w:lang w:val="es-CO"/>
        </w:rPr>
        <w:t xml:space="preserve"> y hasta tres (3) </w:t>
      </w:r>
      <w:proofErr w:type="spellStart"/>
      <w:r w:rsidRPr="00235DA8">
        <w:rPr>
          <w:rFonts w:eastAsia="Times New Roman" w:cstheme="minorHAnsi"/>
          <w:color w:val="141414"/>
          <w:sz w:val="28"/>
          <w:szCs w:val="28"/>
          <w:lang w:val="es-CO"/>
        </w:rPr>
        <w:t>smlmv</w:t>
      </w:r>
      <w:proofErr w:type="spellEnd"/>
      <w:r w:rsidRPr="00235DA8">
        <w:rPr>
          <w:rFonts w:eastAsia="Times New Roman" w:cstheme="minorHAnsi"/>
          <w:color w:val="141414"/>
          <w:sz w:val="28"/>
          <w:szCs w:val="28"/>
          <w:lang w:val="es-CO"/>
        </w:rPr>
        <w:t>. Las prestaciones se financian con recursos del Fondo Común de Vejez y del Fondo de Ahorro del Pilar Contributivo que se propone crear en el proyecto de Ley. Los parámetros para acceder a una pensión de vejez se mantienen:</w:t>
      </w:r>
    </w:p>
    <w:p w:rsidR="00235DA8" w:rsidRPr="00235DA8" w:rsidRDefault="00235DA8" w:rsidP="00235DA8">
      <w:pPr>
        <w:numPr>
          <w:ilvl w:val="1"/>
          <w:numId w:val="1"/>
        </w:numPr>
        <w:spacing w:before="100" w:beforeAutospacing="1" w:after="100" w:afterAutospacing="1" w:line="240" w:lineRule="auto"/>
        <w:jc w:val="both"/>
        <w:rPr>
          <w:rFonts w:eastAsia="Times New Roman" w:cstheme="minorHAnsi"/>
          <w:color w:val="141414"/>
          <w:sz w:val="28"/>
          <w:szCs w:val="28"/>
          <w:lang w:val="es-CO"/>
        </w:rPr>
      </w:pPr>
      <w:r w:rsidRPr="00235DA8">
        <w:rPr>
          <w:rFonts w:eastAsia="Times New Roman" w:cstheme="minorHAnsi"/>
          <w:color w:val="141414"/>
          <w:sz w:val="28"/>
          <w:szCs w:val="28"/>
          <w:lang w:val="es-CO"/>
        </w:rPr>
        <w:t>Haber cumplido 57 años de edad si es mujer, o sesenta y 62 años de edad si es hombre.</w:t>
      </w:r>
    </w:p>
    <w:p w:rsidR="00235DA8" w:rsidRPr="00235DA8" w:rsidRDefault="00235DA8" w:rsidP="00235DA8">
      <w:pPr>
        <w:numPr>
          <w:ilvl w:val="1"/>
          <w:numId w:val="1"/>
        </w:numPr>
        <w:spacing w:before="100" w:beforeAutospacing="1" w:after="100" w:afterAutospacing="1" w:line="240" w:lineRule="auto"/>
        <w:jc w:val="both"/>
        <w:rPr>
          <w:rFonts w:eastAsia="Times New Roman" w:cstheme="minorHAnsi"/>
          <w:color w:val="141414"/>
          <w:sz w:val="28"/>
          <w:szCs w:val="28"/>
          <w:lang w:val="es-CO"/>
        </w:rPr>
      </w:pPr>
      <w:r w:rsidRPr="00235DA8">
        <w:rPr>
          <w:rFonts w:eastAsia="Times New Roman" w:cstheme="minorHAnsi"/>
          <w:color w:val="141414"/>
          <w:sz w:val="28"/>
          <w:szCs w:val="28"/>
          <w:lang w:val="es-CO"/>
        </w:rPr>
        <w:t>Haber cotizado un mínimo de 1.300 semanas en cualquier tiempo. Las semanas mínimas de cotización que se exija a las mujeres para obtener la pensión de vejez a partir del primero de enero del año 2026 se disminuirán hasta llegar a 1000 semanas de cotización.</w:t>
      </w:r>
    </w:p>
    <w:p w:rsidR="00235DA8" w:rsidRPr="00235DA8" w:rsidRDefault="00235DA8" w:rsidP="00235DA8">
      <w:pPr>
        <w:spacing w:after="100" w:afterAutospacing="1" w:line="240" w:lineRule="auto"/>
        <w:jc w:val="both"/>
        <w:rPr>
          <w:rFonts w:eastAsia="Times New Roman" w:cstheme="minorHAnsi"/>
          <w:color w:val="141414"/>
          <w:sz w:val="28"/>
          <w:szCs w:val="28"/>
          <w:lang w:val="es-CO"/>
        </w:rPr>
      </w:pPr>
      <w:r w:rsidRPr="00235DA8">
        <w:rPr>
          <w:rFonts w:eastAsia="Times New Roman" w:cstheme="minorHAnsi"/>
          <w:color w:val="141414"/>
          <w:sz w:val="28"/>
          <w:szCs w:val="28"/>
          <w:lang w:val="es-CO"/>
        </w:rPr>
        <w:t>“El monto de la pensión de vejez se obtiene restándole a 65,5 la mitad del número de salarios mínimos legales mensuales vigentes a los que corresponde el IBL, con la posibilidad de aumentar en un 1,5% por cada 50 semanas adicionales a las 1300 hasta llegar a un monto máximo de 80% de tasa de reemplazo”, asegura la ponencia.</w:t>
      </w:r>
    </w:p>
    <w:p w:rsidR="00235DA8" w:rsidRPr="00235DA8" w:rsidRDefault="00235DA8" w:rsidP="00235DA8">
      <w:pPr>
        <w:numPr>
          <w:ilvl w:val="0"/>
          <w:numId w:val="2"/>
        </w:numPr>
        <w:spacing w:before="100" w:beforeAutospacing="1" w:after="100" w:afterAutospacing="1" w:line="240" w:lineRule="auto"/>
        <w:jc w:val="both"/>
        <w:rPr>
          <w:rFonts w:eastAsia="Times New Roman" w:cstheme="minorHAnsi"/>
          <w:color w:val="141414"/>
          <w:sz w:val="28"/>
          <w:szCs w:val="28"/>
          <w:lang w:val="es-CO"/>
        </w:rPr>
      </w:pPr>
      <w:r w:rsidRPr="00235DA8">
        <w:rPr>
          <w:rFonts w:eastAsia="Times New Roman" w:cstheme="minorHAnsi"/>
          <w:b/>
          <w:bCs/>
          <w:color w:val="141414"/>
          <w:sz w:val="28"/>
          <w:szCs w:val="28"/>
          <w:lang w:val="es-CO"/>
        </w:rPr>
        <w:t>El Componente de Ahorro Individual:</w:t>
      </w:r>
      <w:r w:rsidRPr="00235DA8">
        <w:rPr>
          <w:rFonts w:eastAsia="Times New Roman" w:cstheme="minorHAnsi"/>
          <w:color w:val="141414"/>
          <w:sz w:val="28"/>
          <w:szCs w:val="28"/>
          <w:lang w:val="es-CO"/>
        </w:rPr>
        <w:t xml:space="preserve"> recibirá las cotizaciones por la parte del ingreso base de cotización que exceda los tres (3) </w:t>
      </w:r>
      <w:proofErr w:type="spellStart"/>
      <w:r w:rsidRPr="00235DA8">
        <w:rPr>
          <w:rFonts w:eastAsia="Times New Roman" w:cstheme="minorHAnsi"/>
          <w:color w:val="141414"/>
          <w:sz w:val="28"/>
          <w:szCs w:val="28"/>
          <w:lang w:val="es-CO"/>
        </w:rPr>
        <w:t>smlmv</w:t>
      </w:r>
      <w:proofErr w:type="spellEnd"/>
      <w:r w:rsidRPr="00235DA8">
        <w:rPr>
          <w:rFonts w:eastAsia="Times New Roman" w:cstheme="minorHAnsi"/>
          <w:color w:val="141414"/>
          <w:sz w:val="28"/>
          <w:szCs w:val="28"/>
          <w:lang w:val="es-CO"/>
        </w:rPr>
        <w:t xml:space="preserve"> y hasta los veinticinco (25) </w:t>
      </w:r>
      <w:proofErr w:type="spellStart"/>
      <w:r w:rsidRPr="00235DA8">
        <w:rPr>
          <w:rFonts w:eastAsia="Times New Roman" w:cstheme="minorHAnsi"/>
          <w:color w:val="141414"/>
          <w:sz w:val="28"/>
          <w:szCs w:val="28"/>
          <w:lang w:val="es-CO"/>
        </w:rPr>
        <w:t>smlmv</w:t>
      </w:r>
      <w:proofErr w:type="spellEnd"/>
      <w:r w:rsidRPr="00235DA8">
        <w:rPr>
          <w:rFonts w:eastAsia="Times New Roman" w:cstheme="minorHAnsi"/>
          <w:color w:val="141414"/>
          <w:sz w:val="28"/>
          <w:szCs w:val="28"/>
          <w:lang w:val="es-CO"/>
        </w:rPr>
        <w:t xml:space="preserve">, cuyas prestaciones se financian con el </w:t>
      </w:r>
      <w:r w:rsidRPr="00235DA8">
        <w:rPr>
          <w:rFonts w:eastAsia="Times New Roman" w:cstheme="minorHAnsi"/>
          <w:color w:val="141414"/>
          <w:sz w:val="28"/>
          <w:szCs w:val="28"/>
          <w:lang w:val="es-CO"/>
        </w:rPr>
        <w:lastRenderedPageBreak/>
        <w:t>monto de las cotizaciones realizadas y sus respectivos rendimientos financieros.</w:t>
      </w:r>
    </w:p>
    <w:p w:rsidR="00235DA8" w:rsidRPr="00235DA8" w:rsidRDefault="00235DA8" w:rsidP="00235DA8">
      <w:pPr>
        <w:spacing w:after="100" w:afterAutospacing="1" w:line="240" w:lineRule="auto"/>
        <w:jc w:val="both"/>
        <w:rPr>
          <w:rFonts w:eastAsia="Times New Roman" w:cstheme="minorHAnsi"/>
          <w:color w:val="141414"/>
          <w:sz w:val="28"/>
          <w:szCs w:val="28"/>
          <w:lang w:val="es-CO"/>
        </w:rPr>
      </w:pPr>
      <w:r w:rsidRPr="00235DA8">
        <w:rPr>
          <w:rFonts w:eastAsia="Times New Roman" w:cstheme="minorHAnsi"/>
          <w:color w:val="141414"/>
          <w:sz w:val="28"/>
          <w:szCs w:val="28"/>
          <w:lang w:val="es-CO"/>
        </w:rPr>
        <w:t>Este Componente propende por complementar el valor de la prestación obtenida en el Componente de Prima Media, para formar en conjunto la Pensión Integral de Vejez. Una vez se hayan determinado las cuantías en los dos componentes del Pilar Contributivo, se integrará una sola pensión que será reconocida y pagada por la Administradora del Componente de Prima Media, o a través del mecanismo que defina el Gobierno Nacional.</w:t>
      </w:r>
    </w:p>
    <w:p w:rsidR="00235DA8" w:rsidRPr="00235DA8" w:rsidRDefault="00235DA8" w:rsidP="00235DA8">
      <w:pPr>
        <w:spacing w:after="100" w:afterAutospacing="1" w:line="240" w:lineRule="auto"/>
        <w:jc w:val="both"/>
        <w:rPr>
          <w:rFonts w:eastAsia="Times New Roman" w:cstheme="minorHAnsi"/>
          <w:color w:val="141414"/>
          <w:sz w:val="28"/>
          <w:szCs w:val="28"/>
          <w:lang w:val="es-CO"/>
        </w:rPr>
      </w:pPr>
      <w:r w:rsidRPr="00235DA8">
        <w:rPr>
          <w:rFonts w:eastAsia="Times New Roman" w:cstheme="minorHAnsi"/>
          <w:b/>
          <w:bCs/>
          <w:color w:val="141414"/>
          <w:sz w:val="28"/>
          <w:szCs w:val="28"/>
          <w:lang w:val="es-CO"/>
        </w:rPr>
        <w:t>4. Pilar de Ahorro Voluntario:</w:t>
      </w:r>
      <w:r w:rsidRPr="00235DA8">
        <w:rPr>
          <w:rFonts w:eastAsia="Times New Roman" w:cstheme="minorHAnsi"/>
          <w:color w:val="141414"/>
          <w:sz w:val="28"/>
          <w:szCs w:val="28"/>
          <w:lang w:val="es-CO"/>
        </w:rPr>
        <w:t xml:space="preserve"> “lo integran las personas que hagan un ahorro voluntario a través de los mecanismos que existan en el sistema financiero, según el régimen que establezca la Ley. A este pilar no se le aplicarán los principios y disposiciones del Proyecto de Ley. El ahorro en el Pilar voluntario y sus rendimientos financieros solo gozarán de los mismos beneficios que la Ley concede a las cuentas de ahorro en términos de </w:t>
      </w:r>
      <w:proofErr w:type="spellStart"/>
      <w:r w:rsidRPr="00235DA8">
        <w:rPr>
          <w:rFonts w:eastAsia="Times New Roman" w:cstheme="minorHAnsi"/>
          <w:color w:val="141414"/>
          <w:sz w:val="28"/>
          <w:szCs w:val="28"/>
          <w:lang w:val="es-CO"/>
        </w:rPr>
        <w:t>inembargabilidad</w:t>
      </w:r>
      <w:proofErr w:type="spellEnd"/>
      <w:r w:rsidRPr="00235DA8">
        <w:rPr>
          <w:rFonts w:eastAsia="Times New Roman" w:cstheme="minorHAnsi"/>
          <w:color w:val="141414"/>
          <w:sz w:val="28"/>
          <w:szCs w:val="28"/>
          <w:lang w:val="es-CO"/>
        </w:rPr>
        <w:t>”.</w:t>
      </w:r>
    </w:p>
    <w:p w:rsidR="00235DA8" w:rsidRPr="00235DA8" w:rsidRDefault="00235DA8" w:rsidP="00235DA8">
      <w:pPr>
        <w:spacing w:before="100" w:beforeAutospacing="1" w:after="100" w:afterAutospacing="1" w:line="240" w:lineRule="auto"/>
        <w:jc w:val="both"/>
        <w:outlineLvl w:val="1"/>
        <w:rPr>
          <w:rFonts w:eastAsia="Times New Roman" w:cstheme="minorHAnsi"/>
          <w:b/>
          <w:bCs/>
          <w:color w:val="141414"/>
          <w:sz w:val="28"/>
          <w:szCs w:val="28"/>
          <w:lang w:val="es-CO"/>
        </w:rPr>
      </w:pPr>
      <w:r w:rsidRPr="00235DA8">
        <w:rPr>
          <w:rFonts w:ascii="Segoe UI Symbol" w:eastAsia="Times New Roman" w:hAnsi="Segoe UI Symbol" w:cs="Segoe UI Symbol"/>
          <w:b/>
          <w:bCs/>
          <w:color w:val="141414"/>
          <w:sz w:val="28"/>
          <w:szCs w:val="28"/>
        </w:rPr>
        <w:t>📍</w:t>
      </w:r>
      <w:r w:rsidRPr="00235DA8">
        <w:rPr>
          <w:rFonts w:eastAsia="Times New Roman" w:cstheme="minorHAnsi"/>
          <w:b/>
          <w:bCs/>
          <w:color w:val="141414"/>
          <w:sz w:val="28"/>
          <w:szCs w:val="28"/>
          <w:lang w:val="es-CO"/>
        </w:rPr>
        <w:t xml:space="preserve"> Menos semanas cotizadas para las mujeres</w:t>
      </w:r>
    </w:p>
    <w:p w:rsidR="00235DA8" w:rsidRPr="00235DA8" w:rsidRDefault="00235DA8" w:rsidP="00235DA8">
      <w:pPr>
        <w:spacing w:after="100" w:afterAutospacing="1" w:line="240" w:lineRule="auto"/>
        <w:jc w:val="both"/>
        <w:rPr>
          <w:rFonts w:eastAsia="Times New Roman" w:cstheme="minorHAnsi"/>
          <w:color w:val="141414"/>
          <w:sz w:val="28"/>
          <w:szCs w:val="28"/>
          <w:lang w:val="es-CO"/>
        </w:rPr>
      </w:pPr>
      <w:r w:rsidRPr="00235DA8">
        <w:rPr>
          <w:rFonts w:eastAsia="Times New Roman" w:cstheme="minorHAnsi"/>
          <w:color w:val="141414"/>
          <w:sz w:val="28"/>
          <w:szCs w:val="28"/>
          <w:lang w:val="es-CO"/>
        </w:rPr>
        <w:t>A las mujeres no se les exigirá que coticen 1.300 horas para que se puedan pensionar. Se disminuirá 50 semanas a partir del 1 de enero del 2026 y a partir del 1 de enero de 2027, se disminuirá en 25 semanas cada año, así:</w:t>
      </w:r>
    </w:p>
    <w:p w:rsidR="00F81316" w:rsidRPr="00235DA8" w:rsidRDefault="00F81316" w:rsidP="00235DA8">
      <w:pPr>
        <w:jc w:val="both"/>
        <w:rPr>
          <w:rFonts w:cstheme="minorHAnsi"/>
          <w:sz w:val="28"/>
          <w:szCs w:val="28"/>
          <w:lang w:val="es-CO"/>
        </w:rPr>
      </w:pPr>
    </w:p>
    <w:sectPr w:rsidR="00F81316" w:rsidRPr="00235DA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7F4613"/>
    <w:multiLevelType w:val="multilevel"/>
    <w:tmpl w:val="03088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BD16DE0"/>
    <w:multiLevelType w:val="multilevel"/>
    <w:tmpl w:val="FA0648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DA8"/>
    <w:rsid w:val="00235DA8"/>
    <w:rsid w:val="00F813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B71AB"/>
  <w15:chartTrackingRefBased/>
  <w15:docId w15:val="{97DEA525-D531-48C3-B85F-1EB058361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35DA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35D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865443">
      <w:bodyDiv w:val="1"/>
      <w:marLeft w:val="0"/>
      <w:marRight w:val="0"/>
      <w:marTop w:val="0"/>
      <w:marBottom w:val="0"/>
      <w:divBdr>
        <w:top w:val="none" w:sz="0" w:space="0" w:color="auto"/>
        <w:left w:val="none" w:sz="0" w:space="0" w:color="auto"/>
        <w:bottom w:val="none" w:sz="0" w:space="0" w:color="auto"/>
        <w:right w:val="none" w:sz="0" w:space="0" w:color="auto"/>
      </w:divBdr>
      <w:divsChild>
        <w:div w:id="1321688651">
          <w:marLeft w:val="0"/>
          <w:marRight w:val="0"/>
          <w:marTop w:val="0"/>
          <w:marBottom w:val="0"/>
          <w:divBdr>
            <w:top w:val="none" w:sz="0" w:space="0" w:color="auto"/>
            <w:left w:val="none" w:sz="0" w:space="0" w:color="auto"/>
            <w:bottom w:val="none" w:sz="0" w:space="0" w:color="auto"/>
            <w:right w:val="none" w:sz="0" w:space="0" w:color="auto"/>
          </w:divBdr>
          <w:divsChild>
            <w:div w:id="1784494428">
              <w:marLeft w:val="0"/>
              <w:marRight w:val="0"/>
              <w:marTop w:val="0"/>
              <w:marBottom w:val="0"/>
              <w:divBdr>
                <w:top w:val="none" w:sz="0" w:space="0" w:color="auto"/>
                <w:left w:val="none" w:sz="0" w:space="0" w:color="auto"/>
                <w:bottom w:val="none" w:sz="0" w:space="0" w:color="auto"/>
                <w:right w:val="none" w:sz="0" w:space="0" w:color="auto"/>
              </w:divBdr>
            </w:div>
            <w:div w:id="391927743">
              <w:marLeft w:val="0"/>
              <w:marRight w:val="0"/>
              <w:marTop w:val="0"/>
              <w:marBottom w:val="0"/>
              <w:divBdr>
                <w:top w:val="none" w:sz="0" w:space="0" w:color="auto"/>
                <w:left w:val="none" w:sz="0" w:space="0" w:color="auto"/>
                <w:bottom w:val="none" w:sz="0" w:space="0" w:color="auto"/>
                <w:right w:val="none" w:sz="0" w:space="0" w:color="auto"/>
              </w:divBdr>
              <w:divsChild>
                <w:div w:id="774791755">
                  <w:marLeft w:val="0"/>
                  <w:marRight w:val="0"/>
                  <w:marTop w:val="0"/>
                  <w:marBottom w:val="0"/>
                  <w:divBdr>
                    <w:top w:val="none" w:sz="0" w:space="0" w:color="auto"/>
                    <w:left w:val="none" w:sz="0" w:space="0" w:color="auto"/>
                    <w:bottom w:val="none" w:sz="0" w:space="0" w:color="auto"/>
                    <w:right w:val="none" w:sz="0" w:space="0" w:color="auto"/>
                  </w:divBdr>
                  <w:divsChild>
                    <w:div w:id="280961274">
                      <w:marLeft w:val="0"/>
                      <w:marRight w:val="0"/>
                      <w:marTop w:val="0"/>
                      <w:marBottom w:val="0"/>
                      <w:divBdr>
                        <w:top w:val="none" w:sz="0" w:space="0" w:color="auto"/>
                        <w:left w:val="none" w:sz="0" w:space="0" w:color="auto"/>
                        <w:bottom w:val="none" w:sz="0" w:space="0" w:color="auto"/>
                        <w:right w:val="none" w:sz="0" w:space="0" w:color="auto"/>
                      </w:divBdr>
                      <w:divsChild>
                        <w:div w:id="658077220">
                          <w:marLeft w:val="0"/>
                          <w:marRight w:val="0"/>
                          <w:marTop w:val="0"/>
                          <w:marBottom w:val="0"/>
                          <w:divBdr>
                            <w:top w:val="none" w:sz="0" w:space="0" w:color="auto"/>
                            <w:left w:val="none" w:sz="0" w:space="0" w:color="auto"/>
                            <w:bottom w:val="none" w:sz="0" w:space="0" w:color="auto"/>
                            <w:right w:val="none" w:sz="0" w:space="0" w:color="auto"/>
                          </w:divBdr>
                        </w:div>
                        <w:div w:id="185422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1520">
                  <w:marLeft w:val="0"/>
                  <w:marRight w:val="0"/>
                  <w:marTop w:val="0"/>
                  <w:marBottom w:val="0"/>
                  <w:divBdr>
                    <w:top w:val="none" w:sz="0" w:space="0" w:color="auto"/>
                    <w:left w:val="none" w:sz="0" w:space="0" w:color="auto"/>
                    <w:bottom w:val="none" w:sz="0" w:space="0" w:color="auto"/>
                    <w:right w:val="none" w:sz="0" w:space="0" w:color="auto"/>
                  </w:divBdr>
                  <w:divsChild>
                    <w:div w:id="308099759">
                      <w:marLeft w:val="0"/>
                      <w:marRight w:val="0"/>
                      <w:marTop w:val="0"/>
                      <w:marBottom w:val="0"/>
                      <w:divBdr>
                        <w:top w:val="none" w:sz="0" w:space="0" w:color="auto"/>
                        <w:left w:val="none" w:sz="0" w:space="0" w:color="auto"/>
                        <w:bottom w:val="none" w:sz="0" w:space="0" w:color="auto"/>
                        <w:right w:val="none" w:sz="0" w:space="0" w:color="auto"/>
                      </w:divBdr>
                      <w:divsChild>
                        <w:div w:id="523174624">
                          <w:marLeft w:val="0"/>
                          <w:marRight w:val="0"/>
                          <w:marTop w:val="0"/>
                          <w:marBottom w:val="0"/>
                          <w:divBdr>
                            <w:top w:val="none" w:sz="0" w:space="0" w:color="auto"/>
                            <w:left w:val="none" w:sz="0" w:space="0" w:color="auto"/>
                            <w:bottom w:val="none" w:sz="0" w:space="0" w:color="auto"/>
                            <w:right w:val="none" w:sz="0" w:space="0" w:color="auto"/>
                          </w:divBdr>
                          <w:divsChild>
                            <w:div w:id="1462187309">
                              <w:marLeft w:val="0"/>
                              <w:marRight w:val="0"/>
                              <w:marTop w:val="0"/>
                              <w:marBottom w:val="0"/>
                              <w:divBdr>
                                <w:top w:val="none" w:sz="0" w:space="0" w:color="auto"/>
                                <w:left w:val="none" w:sz="0" w:space="0" w:color="auto"/>
                                <w:bottom w:val="none" w:sz="0" w:space="0" w:color="auto"/>
                                <w:right w:val="none" w:sz="0" w:space="0" w:color="auto"/>
                              </w:divBdr>
                              <w:divsChild>
                                <w:div w:id="203013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658446">
                          <w:marLeft w:val="0"/>
                          <w:marRight w:val="0"/>
                          <w:marTop w:val="0"/>
                          <w:marBottom w:val="0"/>
                          <w:divBdr>
                            <w:top w:val="none" w:sz="0" w:space="0" w:color="auto"/>
                            <w:left w:val="none" w:sz="0" w:space="0" w:color="auto"/>
                            <w:bottom w:val="none" w:sz="0" w:space="0" w:color="auto"/>
                            <w:right w:val="none" w:sz="0" w:space="0" w:color="auto"/>
                          </w:divBdr>
                          <w:divsChild>
                            <w:div w:id="672804649">
                              <w:marLeft w:val="0"/>
                              <w:marRight w:val="0"/>
                              <w:marTop w:val="0"/>
                              <w:marBottom w:val="0"/>
                              <w:divBdr>
                                <w:top w:val="none" w:sz="0" w:space="0" w:color="auto"/>
                                <w:left w:val="none" w:sz="0" w:space="0" w:color="auto"/>
                                <w:bottom w:val="none" w:sz="0" w:space="0" w:color="auto"/>
                                <w:right w:val="none" w:sz="0" w:space="0" w:color="auto"/>
                              </w:divBdr>
                              <w:divsChild>
                                <w:div w:id="162831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07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197712">
          <w:marLeft w:val="0"/>
          <w:marRight w:val="0"/>
          <w:marTop w:val="100"/>
          <w:marBottom w:val="100"/>
          <w:divBdr>
            <w:top w:val="none" w:sz="0" w:space="0" w:color="auto"/>
            <w:left w:val="none" w:sz="0" w:space="0" w:color="auto"/>
            <w:bottom w:val="none" w:sz="0" w:space="0" w:color="auto"/>
            <w:right w:val="none" w:sz="0" w:space="0" w:color="auto"/>
          </w:divBdr>
          <w:divsChild>
            <w:div w:id="1929998541">
              <w:marLeft w:val="0"/>
              <w:marRight w:val="0"/>
              <w:marTop w:val="0"/>
              <w:marBottom w:val="0"/>
              <w:divBdr>
                <w:top w:val="none" w:sz="0" w:space="0" w:color="auto"/>
                <w:left w:val="none" w:sz="0" w:space="0" w:color="auto"/>
                <w:bottom w:val="none" w:sz="0" w:space="0" w:color="auto"/>
                <w:right w:val="none" w:sz="0" w:space="0" w:color="auto"/>
              </w:divBdr>
              <w:divsChild>
                <w:div w:id="1876044956">
                  <w:marLeft w:val="0"/>
                  <w:marRight w:val="0"/>
                  <w:marTop w:val="0"/>
                  <w:marBottom w:val="0"/>
                  <w:divBdr>
                    <w:top w:val="none" w:sz="0" w:space="0" w:color="auto"/>
                    <w:left w:val="none" w:sz="0" w:space="0" w:color="auto"/>
                    <w:bottom w:val="none" w:sz="0" w:space="0" w:color="auto"/>
                    <w:right w:val="none" w:sz="0" w:space="0" w:color="auto"/>
                  </w:divBdr>
                  <w:divsChild>
                    <w:div w:id="306209775">
                      <w:marLeft w:val="0"/>
                      <w:marRight w:val="0"/>
                      <w:marTop w:val="0"/>
                      <w:marBottom w:val="0"/>
                      <w:divBdr>
                        <w:top w:val="none" w:sz="0" w:space="0" w:color="auto"/>
                        <w:left w:val="none" w:sz="0" w:space="0" w:color="auto"/>
                        <w:bottom w:val="none" w:sz="0" w:space="0" w:color="auto"/>
                        <w:right w:val="none" w:sz="0" w:space="0" w:color="auto"/>
                      </w:divBdr>
                      <w:divsChild>
                        <w:div w:id="520439328">
                          <w:marLeft w:val="0"/>
                          <w:marRight w:val="0"/>
                          <w:marTop w:val="0"/>
                          <w:marBottom w:val="0"/>
                          <w:divBdr>
                            <w:top w:val="none" w:sz="0" w:space="0" w:color="auto"/>
                            <w:left w:val="none" w:sz="0" w:space="0" w:color="auto"/>
                            <w:bottom w:val="none" w:sz="0" w:space="0" w:color="auto"/>
                            <w:right w:val="none" w:sz="0" w:space="0" w:color="auto"/>
                          </w:divBdr>
                          <w:divsChild>
                            <w:div w:id="275412251">
                              <w:marLeft w:val="0"/>
                              <w:marRight w:val="0"/>
                              <w:marTop w:val="0"/>
                              <w:marBottom w:val="0"/>
                              <w:divBdr>
                                <w:top w:val="none" w:sz="0" w:space="0" w:color="auto"/>
                                <w:left w:val="none" w:sz="0" w:space="0" w:color="auto"/>
                                <w:bottom w:val="none" w:sz="0" w:space="0" w:color="auto"/>
                                <w:right w:val="none" w:sz="0" w:space="0" w:color="auto"/>
                              </w:divBdr>
                            </w:div>
                            <w:div w:id="445121010">
                              <w:marLeft w:val="0"/>
                              <w:marRight w:val="0"/>
                              <w:marTop w:val="0"/>
                              <w:marBottom w:val="0"/>
                              <w:divBdr>
                                <w:top w:val="none" w:sz="0" w:space="0" w:color="auto"/>
                                <w:left w:val="none" w:sz="0" w:space="0" w:color="auto"/>
                                <w:bottom w:val="none" w:sz="0" w:space="0" w:color="auto"/>
                                <w:right w:val="none" w:sz="0" w:space="0" w:color="auto"/>
                              </w:divBdr>
                              <w:divsChild>
                                <w:div w:id="1098138819">
                                  <w:marLeft w:val="0"/>
                                  <w:marRight w:val="0"/>
                                  <w:marTop w:val="0"/>
                                  <w:marBottom w:val="0"/>
                                  <w:divBdr>
                                    <w:top w:val="none" w:sz="0" w:space="0" w:color="auto"/>
                                    <w:left w:val="none" w:sz="0" w:space="0" w:color="auto"/>
                                    <w:bottom w:val="none" w:sz="0" w:space="0" w:color="auto"/>
                                    <w:right w:val="none" w:sz="0" w:space="0" w:color="auto"/>
                                  </w:divBdr>
                                </w:div>
                                <w:div w:id="210383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322745">
                          <w:marLeft w:val="0"/>
                          <w:marRight w:val="0"/>
                          <w:marTop w:val="0"/>
                          <w:marBottom w:val="0"/>
                          <w:divBdr>
                            <w:top w:val="none" w:sz="0" w:space="0" w:color="auto"/>
                            <w:left w:val="none" w:sz="0" w:space="0" w:color="auto"/>
                            <w:bottom w:val="none" w:sz="0" w:space="0" w:color="auto"/>
                            <w:right w:val="none" w:sz="0" w:space="0" w:color="auto"/>
                          </w:divBdr>
                          <w:divsChild>
                            <w:div w:id="982583262">
                              <w:marLeft w:val="0"/>
                              <w:marRight w:val="0"/>
                              <w:marTop w:val="0"/>
                              <w:marBottom w:val="360"/>
                              <w:divBdr>
                                <w:top w:val="none" w:sz="0" w:space="0" w:color="auto"/>
                                <w:left w:val="none" w:sz="0" w:space="0" w:color="auto"/>
                                <w:bottom w:val="none" w:sz="0" w:space="0" w:color="auto"/>
                                <w:right w:val="none" w:sz="0" w:space="0" w:color="auto"/>
                              </w:divBdr>
                              <w:divsChild>
                                <w:div w:id="1129201036">
                                  <w:marLeft w:val="0"/>
                                  <w:marRight w:val="0"/>
                                  <w:marTop w:val="0"/>
                                  <w:marBottom w:val="0"/>
                                  <w:divBdr>
                                    <w:top w:val="none" w:sz="0" w:space="0" w:color="auto"/>
                                    <w:left w:val="none" w:sz="0" w:space="0" w:color="auto"/>
                                    <w:bottom w:val="single" w:sz="6" w:space="14" w:color="D5D5D5"/>
                                    <w:right w:val="none" w:sz="0" w:space="0" w:color="auto"/>
                                  </w:divBdr>
                                  <w:divsChild>
                                    <w:div w:id="1212691616">
                                      <w:marLeft w:val="0"/>
                                      <w:marRight w:val="0"/>
                                      <w:marTop w:val="0"/>
                                      <w:marBottom w:val="120"/>
                                      <w:divBdr>
                                        <w:top w:val="none" w:sz="0" w:space="0" w:color="auto"/>
                                        <w:left w:val="none" w:sz="0" w:space="0" w:color="auto"/>
                                        <w:bottom w:val="none" w:sz="0" w:space="0" w:color="auto"/>
                                        <w:right w:val="none" w:sz="0" w:space="0" w:color="auto"/>
                                      </w:divBdr>
                                    </w:div>
                                    <w:div w:id="1471632061">
                                      <w:marLeft w:val="0"/>
                                      <w:marRight w:val="0"/>
                                      <w:marTop w:val="0"/>
                                      <w:marBottom w:val="0"/>
                                      <w:divBdr>
                                        <w:top w:val="none" w:sz="0" w:space="0" w:color="auto"/>
                                        <w:left w:val="none" w:sz="0" w:space="0" w:color="auto"/>
                                        <w:bottom w:val="none" w:sz="0" w:space="0" w:color="auto"/>
                                        <w:right w:val="none" w:sz="0" w:space="0" w:color="auto"/>
                                      </w:divBdr>
                                      <w:divsChild>
                                        <w:div w:id="1736003312">
                                          <w:marLeft w:val="0"/>
                                          <w:marRight w:val="0"/>
                                          <w:marTop w:val="0"/>
                                          <w:marBottom w:val="0"/>
                                          <w:divBdr>
                                            <w:top w:val="none" w:sz="0" w:space="0" w:color="auto"/>
                                            <w:left w:val="none" w:sz="0" w:space="0" w:color="auto"/>
                                            <w:bottom w:val="none" w:sz="0" w:space="0" w:color="auto"/>
                                            <w:right w:val="none" w:sz="0" w:space="0" w:color="auto"/>
                                          </w:divBdr>
                                          <w:divsChild>
                                            <w:div w:id="1449471026">
                                              <w:marLeft w:val="300"/>
                                              <w:marRight w:val="0"/>
                                              <w:marTop w:val="0"/>
                                              <w:marBottom w:val="0"/>
                                              <w:divBdr>
                                                <w:top w:val="none" w:sz="0" w:space="0" w:color="auto"/>
                                                <w:left w:val="none" w:sz="0" w:space="0" w:color="auto"/>
                                                <w:bottom w:val="none" w:sz="0" w:space="0" w:color="auto"/>
                                                <w:right w:val="none" w:sz="0" w:space="0" w:color="auto"/>
                                              </w:divBdr>
                                              <w:divsChild>
                                                <w:div w:id="2063553562">
                                                  <w:marLeft w:val="0"/>
                                                  <w:marRight w:val="0"/>
                                                  <w:marTop w:val="0"/>
                                                  <w:marBottom w:val="0"/>
                                                  <w:divBdr>
                                                    <w:top w:val="none" w:sz="0" w:space="0" w:color="auto"/>
                                                    <w:left w:val="none" w:sz="0" w:space="0" w:color="auto"/>
                                                    <w:bottom w:val="none" w:sz="0" w:space="0" w:color="auto"/>
                                                    <w:right w:val="none" w:sz="0" w:space="0" w:color="auto"/>
                                                  </w:divBdr>
                                                </w:div>
                                              </w:divsChild>
                                            </w:div>
                                            <w:div w:id="619532877">
                                              <w:marLeft w:val="300"/>
                                              <w:marRight w:val="0"/>
                                              <w:marTop w:val="0"/>
                                              <w:marBottom w:val="120"/>
                                              <w:divBdr>
                                                <w:top w:val="none" w:sz="0" w:space="0" w:color="auto"/>
                                                <w:left w:val="none" w:sz="0" w:space="0" w:color="auto"/>
                                                <w:bottom w:val="none" w:sz="0" w:space="0" w:color="auto"/>
                                                <w:right w:val="none" w:sz="0" w:space="0" w:color="auto"/>
                                              </w:divBdr>
                                            </w:div>
                                          </w:divsChild>
                                        </w:div>
                                        <w:div w:id="1884099230">
                                          <w:marLeft w:val="30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sChild>
                        </w:div>
                        <w:div w:id="218715997">
                          <w:marLeft w:val="0"/>
                          <w:marRight w:val="0"/>
                          <w:marTop w:val="0"/>
                          <w:marBottom w:val="360"/>
                          <w:divBdr>
                            <w:top w:val="none" w:sz="0" w:space="0" w:color="auto"/>
                            <w:left w:val="none" w:sz="0" w:space="0" w:color="auto"/>
                            <w:bottom w:val="none" w:sz="0" w:space="0" w:color="auto"/>
                            <w:right w:val="none" w:sz="0" w:space="0" w:color="auto"/>
                          </w:divBdr>
                          <w:divsChild>
                            <w:div w:id="1377973926">
                              <w:marLeft w:val="-15"/>
                              <w:marRight w:val="-15"/>
                              <w:marTop w:val="0"/>
                              <w:marBottom w:val="0"/>
                              <w:divBdr>
                                <w:top w:val="none" w:sz="0" w:space="0" w:color="auto"/>
                                <w:left w:val="none" w:sz="0" w:space="0" w:color="auto"/>
                                <w:bottom w:val="none" w:sz="0" w:space="0" w:color="auto"/>
                                <w:right w:val="none" w:sz="0" w:space="0" w:color="auto"/>
                              </w:divBdr>
                            </w:div>
                            <w:div w:id="248391656">
                              <w:marLeft w:val="0"/>
                              <w:marRight w:val="0"/>
                              <w:marTop w:val="0"/>
                              <w:marBottom w:val="0"/>
                              <w:divBdr>
                                <w:top w:val="none" w:sz="0" w:space="0" w:color="auto"/>
                                <w:left w:val="none" w:sz="0" w:space="0" w:color="auto"/>
                                <w:bottom w:val="none" w:sz="0" w:space="0" w:color="auto"/>
                                <w:right w:val="none" w:sz="0" w:space="0" w:color="auto"/>
                              </w:divBdr>
                            </w:div>
                          </w:divsChild>
                        </w:div>
                        <w:div w:id="1379865144">
                          <w:marLeft w:val="0"/>
                          <w:marRight w:val="0"/>
                          <w:marTop w:val="0"/>
                          <w:marBottom w:val="0"/>
                          <w:divBdr>
                            <w:top w:val="none" w:sz="0" w:space="0" w:color="auto"/>
                            <w:left w:val="none" w:sz="0" w:space="0" w:color="auto"/>
                            <w:bottom w:val="none" w:sz="0" w:space="0" w:color="auto"/>
                            <w:right w:val="none" w:sz="0" w:space="0" w:color="auto"/>
                          </w:divBdr>
                          <w:divsChild>
                            <w:div w:id="1704554993">
                              <w:marLeft w:val="0"/>
                              <w:marRight w:val="0"/>
                              <w:marTop w:val="0"/>
                              <w:marBottom w:val="0"/>
                              <w:divBdr>
                                <w:top w:val="single" w:sz="6" w:space="0" w:color="DADADA"/>
                                <w:left w:val="single" w:sz="6" w:space="0" w:color="DADADA"/>
                                <w:bottom w:val="single" w:sz="6" w:space="0" w:color="DADADA"/>
                                <w:right w:val="single" w:sz="6" w:space="0" w:color="DADADA"/>
                              </w:divBdr>
                              <w:divsChild>
                                <w:div w:id="29115123">
                                  <w:marLeft w:val="0"/>
                                  <w:marRight w:val="0"/>
                                  <w:marTop w:val="0"/>
                                  <w:marBottom w:val="0"/>
                                  <w:divBdr>
                                    <w:top w:val="none" w:sz="0" w:space="0" w:color="auto"/>
                                    <w:left w:val="none" w:sz="0" w:space="0" w:color="auto"/>
                                    <w:bottom w:val="none" w:sz="0" w:space="0" w:color="auto"/>
                                    <w:right w:val="none" w:sz="0" w:space="0" w:color="auto"/>
                                  </w:divBdr>
                                  <w:divsChild>
                                    <w:div w:id="446584435">
                                      <w:marLeft w:val="0"/>
                                      <w:marRight w:val="0"/>
                                      <w:marTop w:val="0"/>
                                      <w:marBottom w:val="0"/>
                                      <w:divBdr>
                                        <w:top w:val="none" w:sz="0" w:space="0" w:color="auto"/>
                                        <w:left w:val="none" w:sz="0" w:space="0" w:color="auto"/>
                                        <w:bottom w:val="none" w:sz="0" w:space="0" w:color="auto"/>
                                        <w:right w:val="none" w:sz="0" w:space="0" w:color="auto"/>
                                      </w:divBdr>
                                    </w:div>
                                    <w:div w:id="694772389">
                                      <w:marLeft w:val="0"/>
                                      <w:marRight w:val="0"/>
                                      <w:marTop w:val="0"/>
                                      <w:marBottom w:val="0"/>
                                      <w:divBdr>
                                        <w:top w:val="none" w:sz="0" w:space="0" w:color="auto"/>
                                        <w:left w:val="none" w:sz="0" w:space="0" w:color="auto"/>
                                        <w:bottom w:val="none" w:sz="0" w:space="0" w:color="auto"/>
                                        <w:right w:val="none" w:sz="0" w:space="0" w:color="auto"/>
                                      </w:divBdr>
                                    </w:div>
                                  </w:divsChild>
                                </w:div>
                                <w:div w:id="1574926645">
                                  <w:marLeft w:val="0"/>
                                  <w:marRight w:val="0"/>
                                  <w:marTop w:val="0"/>
                                  <w:marBottom w:val="0"/>
                                  <w:divBdr>
                                    <w:top w:val="none" w:sz="0" w:space="0" w:color="auto"/>
                                    <w:left w:val="none" w:sz="0" w:space="0" w:color="auto"/>
                                    <w:bottom w:val="none" w:sz="0" w:space="0" w:color="auto"/>
                                    <w:right w:val="none" w:sz="0" w:space="0" w:color="auto"/>
                                  </w:divBdr>
                                  <w:divsChild>
                                    <w:div w:id="1837265190">
                                      <w:marLeft w:val="0"/>
                                      <w:marRight w:val="0"/>
                                      <w:marTop w:val="0"/>
                                      <w:marBottom w:val="0"/>
                                      <w:divBdr>
                                        <w:top w:val="none" w:sz="0" w:space="0" w:color="auto"/>
                                        <w:left w:val="none" w:sz="0" w:space="0" w:color="auto"/>
                                        <w:bottom w:val="none" w:sz="0" w:space="0" w:color="auto"/>
                                        <w:right w:val="none" w:sz="0" w:space="0" w:color="auto"/>
                                      </w:divBdr>
                                    </w:div>
                                  </w:divsChild>
                                </w:div>
                                <w:div w:id="27533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1074</Words>
  <Characters>6128</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Sintradepartamento</dc:creator>
  <cp:keywords/>
  <dc:description/>
  <cp:lastModifiedBy>Sintradepartamento</cp:lastModifiedBy>
  <cp:revision>1</cp:revision>
  <cp:lastPrinted>2023-10-05T12:45:00Z</cp:lastPrinted>
  <dcterms:created xsi:type="dcterms:W3CDTF">2023-10-05T12:40:00Z</dcterms:created>
  <dcterms:modified xsi:type="dcterms:W3CDTF">2023-10-05T12:46:00Z</dcterms:modified>
</cp:coreProperties>
</file>